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0B" w:rsidRDefault="004B510B" w:rsidP="00204DDC">
      <w:pPr>
        <w:spacing w:line="240" w:lineRule="auto"/>
        <w:rPr>
          <w:rFonts w:ascii="Arial" w:hAnsi="Arial" w:cs="Arial"/>
          <w:sz w:val="24"/>
          <w:szCs w:val="24"/>
          <w:lang w:val="es-PR"/>
        </w:rPr>
      </w:pPr>
    </w:p>
    <w:p w:rsidR="00D87052" w:rsidRPr="000B7074" w:rsidRDefault="00652CD1" w:rsidP="000B7074">
      <w:pPr>
        <w:spacing w:after="0" w:line="240" w:lineRule="auto"/>
        <w:rPr>
          <w:rFonts w:ascii="Arial" w:hAnsi="Arial" w:cs="Arial"/>
          <w:sz w:val="24"/>
          <w:szCs w:val="24"/>
          <w:lang w:val="es-PR"/>
        </w:rPr>
      </w:pPr>
      <w:r w:rsidRPr="000B7074">
        <w:rPr>
          <w:rFonts w:ascii="Arial" w:hAnsi="Arial" w:cs="Arial"/>
          <w:sz w:val="24"/>
          <w:szCs w:val="24"/>
          <w:lang w:val="es-PR"/>
        </w:rPr>
        <w:t>1</w:t>
      </w:r>
      <w:r>
        <w:rPr>
          <w:rFonts w:ascii="Arial" w:hAnsi="Arial" w:cs="Arial"/>
          <w:sz w:val="24"/>
          <w:szCs w:val="24"/>
          <w:lang w:val="es-PR"/>
        </w:rPr>
        <w:t>4</w:t>
      </w:r>
      <w:r w:rsidRPr="000B7074">
        <w:rPr>
          <w:rFonts w:ascii="Arial" w:hAnsi="Arial" w:cs="Arial"/>
          <w:sz w:val="24"/>
          <w:szCs w:val="24"/>
          <w:lang w:val="es-PR"/>
        </w:rPr>
        <w:t xml:space="preserve"> </w:t>
      </w:r>
      <w:r w:rsidR="00754C7B" w:rsidRPr="000B7074">
        <w:rPr>
          <w:rFonts w:ascii="Arial" w:hAnsi="Arial" w:cs="Arial"/>
          <w:sz w:val="24"/>
          <w:szCs w:val="24"/>
          <w:lang w:val="es-PR"/>
        </w:rPr>
        <w:t xml:space="preserve">de </w:t>
      </w:r>
      <w:r w:rsidR="00754C7B" w:rsidRPr="000756B7">
        <w:rPr>
          <w:rFonts w:ascii="Arial" w:hAnsi="Arial" w:cs="Arial"/>
          <w:sz w:val="24"/>
          <w:szCs w:val="24"/>
          <w:lang w:val="es-PR"/>
        </w:rPr>
        <w:t>octubre</w:t>
      </w:r>
      <w:r w:rsidR="00754C7B" w:rsidRPr="000B7074">
        <w:rPr>
          <w:rFonts w:ascii="Arial" w:hAnsi="Arial" w:cs="Arial"/>
          <w:sz w:val="24"/>
          <w:szCs w:val="24"/>
          <w:lang w:val="es-PR"/>
        </w:rPr>
        <w:t xml:space="preserve"> de 2016</w:t>
      </w:r>
    </w:p>
    <w:p w:rsidR="00754C7B" w:rsidRDefault="00754C7B" w:rsidP="000B7074">
      <w:pPr>
        <w:spacing w:after="0" w:line="240" w:lineRule="auto"/>
        <w:rPr>
          <w:rFonts w:ascii="Arial" w:hAnsi="Arial" w:cs="Arial"/>
          <w:sz w:val="24"/>
          <w:szCs w:val="24"/>
          <w:lang w:val="es-PR"/>
        </w:rPr>
      </w:pPr>
    </w:p>
    <w:p w:rsidR="00230ED6" w:rsidRDefault="00230ED6" w:rsidP="000B7074">
      <w:pPr>
        <w:spacing w:after="0" w:line="240" w:lineRule="auto"/>
        <w:rPr>
          <w:rFonts w:ascii="Arial" w:hAnsi="Arial" w:cs="Arial"/>
          <w:sz w:val="24"/>
          <w:szCs w:val="24"/>
          <w:lang w:val="es-PR"/>
        </w:rPr>
      </w:pPr>
    </w:p>
    <w:p w:rsidR="00754C7B" w:rsidRDefault="004B510B" w:rsidP="000B7074">
      <w:pPr>
        <w:spacing w:after="0" w:line="240" w:lineRule="auto"/>
        <w:rPr>
          <w:rFonts w:ascii="Arial" w:hAnsi="Arial" w:cs="Arial"/>
          <w:sz w:val="24"/>
          <w:szCs w:val="24"/>
          <w:lang w:val="es-ES_tradnl"/>
        </w:rPr>
      </w:pPr>
      <w:r>
        <w:rPr>
          <w:rFonts w:ascii="Arial" w:hAnsi="Arial" w:cs="Arial"/>
          <w:sz w:val="24"/>
          <w:szCs w:val="24"/>
          <w:lang w:val="es-ES_tradnl"/>
        </w:rPr>
        <w:t>Comité de Transición Gubernamental</w:t>
      </w:r>
    </w:p>
    <w:p w:rsidR="004B510B" w:rsidRDefault="004B510B" w:rsidP="000B7074">
      <w:pPr>
        <w:spacing w:after="0" w:line="240" w:lineRule="auto"/>
        <w:rPr>
          <w:rFonts w:ascii="Arial" w:hAnsi="Arial" w:cs="Arial"/>
          <w:sz w:val="24"/>
          <w:szCs w:val="24"/>
          <w:lang w:val="es-ES_tradnl"/>
        </w:rPr>
      </w:pPr>
      <w:r>
        <w:rPr>
          <w:rFonts w:ascii="Arial" w:hAnsi="Arial" w:cs="Arial"/>
          <w:sz w:val="24"/>
          <w:szCs w:val="24"/>
          <w:lang w:val="es-ES_tradnl"/>
        </w:rPr>
        <w:t>Departamento de Estado</w:t>
      </w:r>
    </w:p>
    <w:p w:rsidR="004B510B" w:rsidRDefault="004B510B" w:rsidP="000B7074">
      <w:pPr>
        <w:spacing w:after="0" w:line="240" w:lineRule="auto"/>
        <w:rPr>
          <w:rFonts w:ascii="Arial" w:hAnsi="Arial" w:cs="Arial"/>
          <w:sz w:val="24"/>
          <w:szCs w:val="24"/>
          <w:lang w:val="es-ES_tradnl"/>
        </w:rPr>
      </w:pPr>
      <w:r>
        <w:rPr>
          <w:rFonts w:ascii="Arial" w:hAnsi="Arial" w:cs="Arial"/>
          <w:sz w:val="24"/>
          <w:szCs w:val="24"/>
          <w:lang w:val="es-ES_tradnl"/>
        </w:rPr>
        <w:t>San Juan, Puerto Rico</w:t>
      </w:r>
    </w:p>
    <w:p w:rsidR="004B510B" w:rsidRPr="004D6436" w:rsidRDefault="004B510B" w:rsidP="000B7074">
      <w:pPr>
        <w:spacing w:after="0" w:line="240" w:lineRule="auto"/>
        <w:rPr>
          <w:rFonts w:ascii="Arial" w:hAnsi="Arial" w:cs="Arial"/>
          <w:sz w:val="24"/>
          <w:szCs w:val="24"/>
          <w:lang w:val="es-ES_tradnl"/>
        </w:rPr>
      </w:pPr>
    </w:p>
    <w:p w:rsidR="00754C7B" w:rsidRPr="000B7074" w:rsidRDefault="004B510B">
      <w:pPr>
        <w:spacing w:line="240" w:lineRule="auto"/>
        <w:rPr>
          <w:rFonts w:ascii="Arial" w:hAnsi="Arial" w:cs="Arial"/>
          <w:b/>
          <w:sz w:val="24"/>
          <w:szCs w:val="24"/>
          <w:lang w:val="es-ES_tradnl"/>
        </w:rPr>
      </w:pPr>
      <w:r w:rsidRPr="000B7074">
        <w:rPr>
          <w:rFonts w:ascii="Arial" w:hAnsi="Arial" w:cs="Arial"/>
          <w:b/>
          <w:sz w:val="24"/>
          <w:szCs w:val="24"/>
          <w:lang w:val="es-ES_tradnl"/>
        </w:rPr>
        <w:t>Autoridad para la Alianzas Público Privadas: Informe de Transición 2016</w:t>
      </w:r>
      <w:r>
        <w:rPr>
          <w:rFonts w:ascii="Arial" w:hAnsi="Arial" w:cs="Arial"/>
          <w:b/>
          <w:sz w:val="24"/>
          <w:szCs w:val="24"/>
          <w:lang w:val="es-ES_tradnl"/>
        </w:rPr>
        <w:t>-2017</w:t>
      </w:r>
    </w:p>
    <w:p w:rsidR="00754C7B" w:rsidRPr="004D6436" w:rsidRDefault="00754C7B">
      <w:pPr>
        <w:spacing w:line="240" w:lineRule="auto"/>
        <w:jc w:val="both"/>
        <w:rPr>
          <w:rFonts w:ascii="Arial" w:hAnsi="Arial" w:cs="Arial"/>
          <w:sz w:val="24"/>
          <w:szCs w:val="24"/>
          <w:lang w:val="es-ES"/>
        </w:rPr>
      </w:pPr>
      <w:r w:rsidRPr="004D6436">
        <w:rPr>
          <w:rFonts w:ascii="Arial" w:hAnsi="Arial" w:cs="Arial"/>
          <w:sz w:val="24"/>
          <w:szCs w:val="24"/>
          <w:lang w:val="es-ES"/>
        </w:rPr>
        <w:t>Comparece</w:t>
      </w:r>
      <w:r w:rsidRPr="004D6436">
        <w:rPr>
          <w:rFonts w:ascii="Arial" w:hAnsi="Arial" w:cs="Arial"/>
          <w:sz w:val="24"/>
          <w:szCs w:val="24"/>
          <w:lang w:val="es-ES_tradnl"/>
        </w:rPr>
        <w:t xml:space="preserve"> la Autoridad para las Alianzas Público Privadas de Puerto Rico (“Autoridad”) para presentar su informe de transición gubernamental para el año 2016. A continuación se ofrece un breve trasfondo del marco legal de la Autoridad, su situación financiera y un resumen de los proyectos que la Autoridad ha trabajado durante la presente administración. </w:t>
      </w:r>
    </w:p>
    <w:p w:rsidR="00DC0264" w:rsidRPr="004D6436" w:rsidRDefault="00754C7B" w:rsidP="000B7074">
      <w:pPr>
        <w:pStyle w:val="ListParagraph"/>
        <w:numPr>
          <w:ilvl w:val="0"/>
          <w:numId w:val="4"/>
        </w:numPr>
        <w:tabs>
          <w:tab w:val="left" w:pos="540"/>
        </w:tabs>
        <w:spacing w:line="240" w:lineRule="auto"/>
        <w:ind w:left="720"/>
        <w:jc w:val="both"/>
        <w:rPr>
          <w:rFonts w:ascii="Arial" w:hAnsi="Arial" w:cs="Arial"/>
          <w:b/>
          <w:sz w:val="24"/>
          <w:szCs w:val="24"/>
          <w:lang w:val="es-ES"/>
        </w:rPr>
      </w:pPr>
      <w:r w:rsidRPr="004D6436">
        <w:rPr>
          <w:rFonts w:ascii="Arial" w:hAnsi="Arial" w:cs="Arial"/>
          <w:b/>
          <w:sz w:val="24"/>
          <w:szCs w:val="24"/>
          <w:lang w:val="es-ES"/>
        </w:rPr>
        <w:t>TRASFONDO DE LA AUTORIDAD</w:t>
      </w:r>
    </w:p>
    <w:p w:rsidR="00DC0264" w:rsidRPr="004D6436" w:rsidRDefault="00DC0264">
      <w:pPr>
        <w:spacing w:after="0" w:line="240" w:lineRule="auto"/>
        <w:jc w:val="both"/>
        <w:rPr>
          <w:rFonts w:ascii="Arial" w:hAnsi="Arial" w:cs="Arial"/>
          <w:sz w:val="24"/>
          <w:szCs w:val="24"/>
          <w:lang w:val="es-ES"/>
        </w:rPr>
      </w:pPr>
      <w:r w:rsidRPr="004D6436">
        <w:rPr>
          <w:rFonts w:ascii="Arial" w:hAnsi="Arial" w:cs="Arial"/>
          <w:sz w:val="24"/>
          <w:szCs w:val="24"/>
          <w:lang w:val="es-ES"/>
        </w:rPr>
        <w:t xml:space="preserve">La Autoridad es una corporación pública del Estado Libre Asociado de Puerto Rico, afiliada al Banco Gubernamental de Fomento para Puerto Rico (“BGF”), creada en virtud de la Ley Núm. 29 del 8 de junio de 2009, según enmendada, conocida como la Ley de Alianzas Público-Privadas de Puerto Rico (“Ley de APP").  </w:t>
      </w:r>
    </w:p>
    <w:p w:rsidR="00204DDC" w:rsidRPr="004D6436" w:rsidRDefault="00204DDC">
      <w:pPr>
        <w:pStyle w:val="ListParagraph"/>
        <w:spacing w:after="0" w:line="240" w:lineRule="auto"/>
        <w:ind w:left="540"/>
        <w:contextualSpacing w:val="0"/>
        <w:jc w:val="both"/>
        <w:rPr>
          <w:rFonts w:ascii="Arial" w:hAnsi="Arial" w:cs="Arial"/>
          <w:sz w:val="24"/>
          <w:szCs w:val="24"/>
          <w:lang w:val="es-ES"/>
        </w:rPr>
      </w:pPr>
    </w:p>
    <w:p w:rsidR="00035EAB" w:rsidRPr="004D6436" w:rsidRDefault="00DC0264" w:rsidP="00035EAB">
      <w:pPr>
        <w:spacing w:line="240" w:lineRule="auto"/>
        <w:jc w:val="both"/>
        <w:rPr>
          <w:rFonts w:ascii="Arial" w:hAnsi="Arial" w:cs="Arial"/>
          <w:sz w:val="24"/>
          <w:szCs w:val="24"/>
          <w:lang w:val="es-PR"/>
        </w:rPr>
      </w:pPr>
      <w:r w:rsidRPr="004D6436">
        <w:rPr>
          <w:rFonts w:ascii="Arial" w:hAnsi="Arial" w:cs="Arial"/>
          <w:sz w:val="24"/>
          <w:szCs w:val="24"/>
          <w:lang w:val="es-PR"/>
        </w:rPr>
        <w:t>La misión de la Autoridad es implantar la política pública del Estado Libre Asociado de Puerto Rico para favorecer y promover el establecimiento de Alianzas P</w:t>
      </w:r>
      <w:r w:rsidR="00CC32EF">
        <w:rPr>
          <w:rFonts w:ascii="Arial" w:hAnsi="Arial" w:cs="Arial"/>
          <w:sz w:val="24"/>
          <w:szCs w:val="24"/>
          <w:lang w:val="es-PR"/>
        </w:rPr>
        <w:t>ú</w:t>
      </w:r>
      <w:r w:rsidRPr="004D6436">
        <w:rPr>
          <w:rFonts w:ascii="Arial" w:hAnsi="Arial" w:cs="Arial"/>
          <w:sz w:val="24"/>
          <w:szCs w:val="24"/>
          <w:lang w:val="es-PR"/>
        </w:rPr>
        <w:t xml:space="preserve">blico Privadas (“Alianzas”) </w:t>
      </w:r>
      <w:r w:rsidRPr="004D6436">
        <w:rPr>
          <w:rFonts w:ascii="Arial" w:hAnsi="Arial" w:cs="Arial"/>
          <w:sz w:val="24"/>
          <w:szCs w:val="24"/>
          <w:lang w:val="es-PR"/>
        </w:rPr>
        <w:lastRenderedPageBreak/>
        <w:t>para la creación de proyectos de infraestructura púbica necesaria o para la provisión o el mejoramiento en la provisión de servicios públicos. En esencia, con las Alianzas</w:t>
      </w:r>
      <w:r w:rsidR="00D2246E" w:rsidRPr="004D6436">
        <w:rPr>
          <w:rFonts w:ascii="Arial" w:hAnsi="Arial" w:cs="Arial"/>
          <w:sz w:val="24"/>
          <w:szCs w:val="24"/>
          <w:lang w:val="es-PR"/>
        </w:rPr>
        <w:t>,</w:t>
      </w:r>
      <w:r w:rsidRPr="004D6436">
        <w:rPr>
          <w:rFonts w:ascii="Arial" w:hAnsi="Arial" w:cs="Arial"/>
          <w:sz w:val="24"/>
          <w:szCs w:val="24"/>
          <w:lang w:val="es-PR"/>
        </w:rPr>
        <w:t xml:space="preserve"> el Gobierno busca: fomentar el desarrollo y mantenimiento de infraestructura pública;</w:t>
      </w:r>
      <w:r w:rsidR="00D2246E" w:rsidRPr="004D6436">
        <w:rPr>
          <w:rFonts w:ascii="Arial" w:hAnsi="Arial" w:cs="Arial"/>
          <w:sz w:val="24"/>
          <w:szCs w:val="24"/>
          <w:lang w:val="es-PR"/>
        </w:rPr>
        <w:t xml:space="preserve"> </w:t>
      </w:r>
      <w:r w:rsidRPr="004D6436">
        <w:rPr>
          <w:rFonts w:ascii="Arial" w:hAnsi="Arial" w:cs="Arial"/>
          <w:sz w:val="24"/>
          <w:szCs w:val="24"/>
          <w:lang w:val="es-PR"/>
        </w:rPr>
        <w:t>mejorar los servicios públicos y las funciones del Gobierno</w:t>
      </w:r>
      <w:r w:rsidR="00D2246E" w:rsidRPr="004D6436">
        <w:rPr>
          <w:rFonts w:ascii="Arial" w:hAnsi="Arial" w:cs="Arial"/>
          <w:sz w:val="24"/>
          <w:szCs w:val="24"/>
          <w:lang w:val="es-PR"/>
        </w:rPr>
        <w:t xml:space="preserve">; </w:t>
      </w:r>
      <w:r w:rsidRPr="004D6436">
        <w:rPr>
          <w:rFonts w:ascii="Arial" w:hAnsi="Arial" w:cs="Arial"/>
          <w:sz w:val="24"/>
          <w:szCs w:val="24"/>
          <w:lang w:val="es-PR"/>
        </w:rPr>
        <w:t xml:space="preserve">compartir entre el </w:t>
      </w:r>
      <w:r w:rsidR="00CC32EF">
        <w:rPr>
          <w:rFonts w:ascii="Arial" w:hAnsi="Arial" w:cs="Arial"/>
          <w:sz w:val="24"/>
          <w:szCs w:val="24"/>
          <w:lang w:val="es-PR"/>
        </w:rPr>
        <w:t xml:space="preserve">Gobierno </w:t>
      </w:r>
      <w:r w:rsidRPr="004D6436">
        <w:rPr>
          <w:rFonts w:ascii="Arial" w:hAnsi="Arial" w:cs="Arial"/>
          <w:sz w:val="24"/>
          <w:szCs w:val="24"/>
          <w:lang w:val="es-PR"/>
        </w:rPr>
        <w:t>y el sector privado los riesgos que representan el desarrollo, operación y mantenimiento de dichos proyectos;</w:t>
      </w:r>
      <w:r w:rsidR="00D2246E" w:rsidRPr="004D6436">
        <w:rPr>
          <w:rFonts w:ascii="Arial" w:hAnsi="Arial" w:cs="Arial"/>
          <w:sz w:val="24"/>
          <w:szCs w:val="24"/>
          <w:lang w:val="es-PR"/>
        </w:rPr>
        <w:t xml:space="preserve"> </w:t>
      </w:r>
      <w:r w:rsidRPr="004D6436">
        <w:rPr>
          <w:rFonts w:ascii="Arial" w:hAnsi="Arial" w:cs="Arial"/>
          <w:sz w:val="24"/>
          <w:szCs w:val="24"/>
          <w:lang w:val="es-PR"/>
        </w:rPr>
        <w:t>fomentar la creación de empleos; y promover el desarrollo socioeconómico y la competitividad del País.</w:t>
      </w:r>
      <w:r w:rsidR="00035EAB" w:rsidRPr="00035EAB">
        <w:rPr>
          <w:rFonts w:ascii="Arial" w:hAnsi="Arial" w:cs="Arial"/>
          <w:sz w:val="24"/>
          <w:szCs w:val="24"/>
          <w:lang w:val="es-PR"/>
        </w:rPr>
        <w:t xml:space="preserve"> </w:t>
      </w:r>
      <w:r w:rsidR="00035EAB" w:rsidRPr="004D6436">
        <w:rPr>
          <w:rFonts w:ascii="Arial" w:hAnsi="Arial" w:cs="Arial"/>
          <w:sz w:val="24"/>
          <w:szCs w:val="24"/>
          <w:lang w:val="es-PR"/>
        </w:rPr>
        <w:t>Lo anterior, con la encomienda de que los proyectos que se avancen mediante el mecanismo de Alianzas, se realicen en un proceso de selección, negociación y contratación que garantice la transparencia y la protección del interés público.</w:t>
      </w:r>
    </w:p>
    <w:p w:rsidR="00D2246E" w:rsidRPr="004D6436" w:rsidRDefault="00D2246E">
      <w:pPr>
        <w:spacing w:after="0" w:line="240" w:lineRule="auto"/>
        <w:jc w:val="both"/>
        <w:rPr>
          <w:rFonts w:ascii="Arial" w:hAnsi="Arial" w:cs="Arial"/>
          <w:sz w:val="24"/>
          <w:szCs w:val="24"/>
          <w:lang w:val="es-PR"/>
        </w:rPr>
      </w:pPr>
    </w:p>
    <w:p w:rsidR="004A794E" w:rsidRPr="004D6436" w:rsidRDefault="009333C1">
      <w:pPr>
        <w:spacing w:line="240" w:lineRule="auto"/>
        <w:jc w:val="both"/>
        <w:rPr>
          <w:rFonts w:ascii="Arial" w:hAnsi="Arial" w:cs="Arial"/>
          <w:sz w:val="24"/>
          <w:szCs w:val="24"/>
          <w:lang w:val="es-PR"/>
        </w:rPr>
      </w:pPr>
      <w:r>
        <w:rPr>
          <w:rFonts w:ascii="Arial" w:hAnsi="Arial" w:cs="Arial"/>
          <w:sz w:val="24"/>
          <w:szCs w:val="24"/>
          <w:lang w:val="es-PR"/>
        </w:rPr>
        <w:t xml:space="preserve">Según se dispone en el artículo 6 de la Ley de APP, la operación de la Autoridad </w:t>
      </w:r>
      <w:r w:rsidR="00DF1989">
        <w:rPr>
          <w:rFonts w:ascii="Arial" w:hAnsi="Arial" w:cs="Arial"/>
          <w:sz w:val="24"/>
          <w:szCs w:val="24"/>
          <w:lang w:val="es-PR"/>
        </w:rPr>
        <w:t xml:space="preserve">era sufragada por una línea de crédito rotativa, de hasta $20 millones, concedida por el BGF. La fuente de repago de dicha línea son </w:t>
      </w:r>
      <w:r w:rsidR="00DF1989" w:rsidRPr="004D6436">
        <w:rPr>
          <w:rFonts w:ascii="Arial" w:hAnsi="Arial" w:cs="Arial"/>
          <w:sz w:val="24"/>
          <w:szCs w:val="24"/>
          <w:lang w:val="es-PR"/>
        </w:rPr>
        <w:t>los fondos recibidos por los servicios prestados y los cargos por servicio impuestos por la Autoridad a las Entidades Gubernamentales a las que le ofrece sus servicios</w:t>
      </w:r>
      <w:r w:rsidR="00DF1989">
        <w:rPr>
          <w:rFonts w:ascii="Arial" w:hAnsi="Arial" w:cs="Arial"/>
          <w:sz w:val="24"/>
          <w:szCs w:val="24"/>
          <w:lang w:val="es-PR"/>
        </w:rPr>
        <w:t>.</w:t>
      </w:r>
      <w:r w:rsidR="004A794E" w:rsidRPr="004D6436">
        <w:rPr>
          <w:rFonts w:ascii="Arial" w:hAnsi="Arial" w:cs="Arial"/>
          <w:sz w:val="24"/>
          <w:szCs w:val="24"/>
          <w:lang w:val="es-PR"/>
        </w:rPr>
        <w:t xml:space="preserve"> </w:t>
      </w:r>
      <w:r w:rsidR="00DF1989">
        <w:rPr>
          <w:rFonts w:ascii="Arial" w:hAnsi="Arial" w:cs="Arial"/>
          <w:sz w:val="24"/>
          <w:szCs w:val="24"/>
          <w:lang w:val="es-PR"/>
        </w:rPr>
        <w:t>H</w:t>
      </w:r>
      <w:r w:rsidR="004A794E" w:rsidRPr="004D6436">
        <w:rPr>
          <w:rFonts w:ascii="Arial" w:hAnsi="Arial" w:cs="Arial"/>
          <w:sz w:val="24"/>
          <w:szCs w:val="24"/>
          <w:lang w:val="es-PR"/>
        </w:rPr>
        <w:t xml:space="preserve">asta el 31 de enero del 2016, los recursos de la Autoridad provenían, principalmente, de la línea de crédito concedida por el BGF. La línea de crédito se utilizaba para cubrir los gastos operacionales de la Autoridad y para contratar los servicios técnicos, legales y financieros necesarios para el análisis y desarrollo de Alianzas. Sin embargo, la línea de crédito venció el 31 de enero de 2016 y no fue renovada por el BGF, debido a la crisis fiscal por la que atraviesa dicha institución. </w:t>
      </w:r>
    </w:p>
    <w:p w:rsidR="007B67BF" w:rsidRPr="004D6436" w:rsidRDefault="004A794E">
      <w:pPr>
        <w:spacing w:line="240" w:lineRule="auto"/>
        <w:jc w:val="both"/>
        <w:rPr>
          <w:rFonts w:ascii="Arial" w:hAnsi="Arial" w:cs="Arial"/>
          <w:sz w:val="24"/>
          <w:szCs w:val="24"/>
          <w:lang w:val="es-PR"/>
        </w:rPr>
      </w:pPr>
      <w:r w:rsidRPr="004D6436">
        <w:rPr>
          <w:rFonts w:ascii="Arial" w:hAnsi="Arial" w:cs="Arial"/>
          <w:sz w:val="24"/>
          <w:szCs w:val="24"/>
          <w:lang w:val="es-PR"/>
        </w:rPr>
        <w:lastRenderedPageBreak/>
        <w:t xml:space="preserve">Actualmente, la Autoridad opera con los fondos asignados del Fondo General y de otras asignaciones, las cuales se describirán más adelante. </w:t>
      </w:r>
    </w:p>
    <w:p w:rsidR="004D6436" w:rsidRPr="004D6436" w:rsidRDefault="00A1544C" w:rsidP="000B7074">
      <w:pPr>
        <w:pStyle w:val="ListParagraph"/>
        <w:numPr>
          <w:ilvl w:val="0"/>
          <w:numId w:val="4"/>
        </w:numPr>
        <w:spacing w:line="240" w:lineRule="auto"/>
        <w:ind w:left="360" w:hanging="360"/>
        <w:jc w:val="both"/>
        <w:rPr>
          <w:rFonts w:ascii="Arial" w:hAnsi="Arial" w:cs="Arial"/>
          <w:b/>
          <w:sz w:val="24"/>
          <w:szCs w:val="24"/>
          <w:lang w:val="es-PR"/>
        </w:rPr>
      </w:pPr>
      <w:r w:rsidRPr="004D6436">
        <w:rPr>
          <w:rFonts w:ascii="Arial" w:hAnsi="Arial" w:cs="Arial"/>
          <w:b/>
          <w:sz w:val="24"/>
          <w:szCs w:val="24"/>
          <w:lang w:val="es-PR"/>
        </w:rPr>
        <w:t>LOGROS ALCANZADOS</w:t>
      </w:r>
    </w:p>
    <w:p w:rsidR="004D6436" w:rsidRPr="004D6436" w:rsidRDefault="004D6436" w:rsidP="000B7074">
      <w:pPr>
        <w:spacing w:line="240" w:lineRule="auto"/>
        <w:jc w:val="both"/>
        <w:rPr>
          <w:rFonts w:ascii="Arial" w:hAnsi="Arial" w:cs="Arial"/>
          <w:sz w:val="24"/>
          <w:szCs w:val="24"/>
          <w:lang w:val="es-PR"/>
        </w:rPr>
      </w:pPr>
      <w:r w:rsidRPr="004D6436">
        <w:rPr>
          <w:rFonts w:ascii="Arial" w:hAnsi="Arial" w:cs="Arial"/>
          <w:sz w:val="24"/>
          <w:szCs w:val="24"/>
          <w:lang w:val="es-PR"/>
        </w:rPr>
        <w:t xml:space="preserve">A pesar de haber trabajado con un presupuesto limitado y de haber reducido significativamente sus gastos operacionales en comparación con </w:t>
      </w:r>
      <w:r w:rsidR="000E3524">
        <w:rPr>
          <w:rFonts w:ascii="Arial" w:hAnsi="Arial" w:cs="Arial"/>
          <w:sz w:val="24"/>
          <w:szCs w:val="24"/>
          <w:lang w:val="es-PR"/>
        </w:rPr>
        <w:t xml:space="preserve">los primeros cuatro años de </w:t>
      </w:r>
      <w:r w:rsidR="001070F6">
        <w:rPr>
          <w:rFonts w:ascii="Arial" w:hAnsi="Arial" w:cs="Arial"/>
          <w:sz w:val="24"/>
          <w:szCs w:val="24"/>
          <w:lang w:val="es-PR"/>
        </w:rPr>
        <w:t xml:space="preserve">su </w:t>
      </w:r>
      <w:r w:rsidR="000E3524">
        <w:rPr>
          <w:rFonts w:ascii="Arial" w:hAnsi="Arial" w:cs="Arial"/>
          <w:sz w:val="24"/>
          <w:szCs w:val="24"/>
          <w:lang w:val="es-PR"/>
        </w:rPr>
        <w:t>existencia</w:t>
      </w:r>
      <w:r w:rsidRPr="004D6436">
        <w:rPr>
          <w:rFonts w:ascii="Arial" w:hAnsi="Arial" w:cs="Arial"/>
          <w:sz w:val="24"/>
          <w:szCs w:val="24"/>
          <w:lang w:val="es-PR"/>
        </w:rPr>
        <w:t>, la Autoridad ha cumplido con la política pública establecida por el Honorable Gobernador Alejandro García Padilla</w:t>
      </w:r>
      <w:r w:rsidR="000E3524">
        <w:rPr>
          <w:rFonts w:ascii="Arial" w:hAnsi="Arial" w:cs="Arial"/>
          <w:sz w:val="24"/>
          <w:szCs w:val="24"/>
          <w:lang w:val="es-PR"/>
        </w:rPr>
        <w:t>,</w:t>
      </w:r>
      <w:r w:rsidRPr="004D6436">
        <w:rPr>
          <w:rFonts w:ascii="Arial" w:hAnsi="Arial" w:cs="Arial"/>
          <w:sz w:val="24"/>
          <w:szCs w:val="24"/>
          <w:lang w:val="es-PR"/>
        </w:rPr>
        <w:t xml:space="preserve"> de promover el mecanismo de las </w:t>
      </w:r>
      <w:r w:rsidR="004B510B">
        <w:rPr>
          <w:rFonts w:ascii="Arial" w:hAnsi="Arial" w:cs="Arial"/>
          <w:sz w:val="24"/>
          <w:szCs w:val="24"/>
          <w:lang w:val="es-PR"/>
        </w:rPr>
        <w:t>Alianzas</w:t>
      </w:r>
      <w:r w:rsidRPr="004D6436">
        <w:rPr>
          <w:rFonts w:ascii="Arial" w:hAnsi="Arial" w:cs="Arial"/>
          <w:sz w:val="24"/>
          <w:szCs w:val="24"/>
          <w:lang w:val="es-PR"/>
        </w:rPr>
        <w:t xml:space="preserve"> para mejorar la provisión de servicios públicos y para el desarrollo de nueva infraestructura en beneficio del desarrollo económico de</w:t>
      </w:r>
      <w:r w:rsidR="001070F6">
        <w:rPr>
          <w:rFonts w:ascii="Arial" w:hAnsi="Arial" w:cs="Arial"/>
          <w:sz w:val="24"/>
          <w:szCs w:val="24"/>
          <w:lang w:val="es-PR"/>
        </w:rPr>
        <w:t>l</w:t>
      </w:r>
      <w:r w:rsidRPr="004D6436">
        <w:rPr>
          <w:rFonts w:ascii="Arial" w:hAnsi="Arial" w:cs="Arial"/>
          <w:sz w:val="24"/>
          <w:szCs w:val="24"/>
          <w:lang w:val="es-PR"/>
        </w:rPr>
        <w:t xml:space="preserve"> país. No obstante, </w:t>
      </w:r>
      <w:r w:rsidR="001070F6">
        <w:rPr>
          <w:rFonts w:ascii="Arial" w:hAnsi="Arial" w:cs="Arial"/>
          <w:sz w:val="24"/>
          <w:szCs w:val="24"/>
          <w:lang w:val="es-PR"/>
        </w:rPr>
        <w:t xml:space="preserve">precisa puntualizar </w:t>
      </w:r>
      <w:r w:rsidRPr="004D6436">
        <w:rPr>
          <w:rFonts w:ascii="Arial" w:hAnsi="Arial" w:cs="Arial"/>
          <w:sz w:val="24"/>
          <w:szCs w:val="24"/>
          <w:lang w:val="es-PR"/>
        </w:rPr>
        <w:t xml:space="preserve">que dado a la crisis fiscal, sin precedentes, por la que atraviesa el país, el desarrollo de los proyectos de Alianzas de nueva infraestructura </w:t>
      </w:r>
      <w:r w:rsidR="000E3524">
        <w:rPr>
          <w:rFonts w:ascii="Arial" w:hAnsi="Arial" w:cs="Arial"/>
          <w:sz w:val="24"/>
          <w:szCs w:val="24"/>
          <w:lang w:val="es-PR"/>
        </w:rPr>
        <w:t xml:space="preserve">o </w:t>
      </w:r>
      <w:r w:rsidR="001070F6">
        <w:rPr>
          <w:rFonts w:ascii="Arial" w:hAnsi="Arial" w:cs="Arial"/>
          <w:sz w:val="24"/>
          <w:szCs w:val="24"/>
          <w:lang w:val="es-PR"/>
        </w:rPr>
        <w:t xml:space="preserve">la concesión de </w:t>
      </w:r>
      <w:r w:rsidR="000E3524">
        <w:rPr>
          <w:rFonts w:ascii="Arial" w:hAnsi="Arial" w:cs="Arial"/>
          <w:sz w:val="24"/>
          <w:szCs w:val="24"/>
          <w:lang w:val="es-PR"/>
        </w:rPr>
        <w:t xml:space="preserve">servicios </w:t>
      </w:r>
      <w:r w:rsidR="001070F6">
        <w:rPr>
          <w:rFonts w:ascii="Arial" w:hAnsi="Arial" w:cs="Arial"/>
          <w:sz w:val="24"/>
          <w:szCs w:val="24"/>
          <w:lang w:val="es-PR"/>
        </w:rPr>
        <w:t>que no conlleva</w:t>
      </w:r>
      <w:r w:rsidR="000E3524">
        <w:rPr>
          <w:rFonts w:ascii="Arial" w:hAnsi="Arial" w:cs="Arial"/>
          <w:sz w:val="24"/>
          <w:szCs w:val="24"/>
          <w:lang w:val="es-PR"/>
        </w:rPr>
        <w:t xml:space="preserve"> monetización, </w:t>
      </w:r>
      <w:r w:rsidRPr="004D6436">
        <w:rPr>
          <w:rFonts w:ascii="Arial" w:hAnsi="Arial" w:cs="Arial"/>
          <w:sz w:val="24"/>
          <w:szCs w:val="24"/>
          <w:lang w:val="es-PR"/>
        </w:rPr>
        <w:t xml:space="preserve">se dificulta por las limitaciones que tiene el gobierno para identificar u ofrecer fuentes de repago o para ofrecer las garantías de pago que exige el sector privado. Igualmente, cabe destacar que el desarrollo de algunos proyectos de nueva infraestructura toman años en completarse, dada </w:t>
      </w:r>
      <w:r w:rsidR="001070F6">
        <w:rPr>
          <w:rFonts w:ascii="Arial" w:hAnsi="Arial" w:cs="Arial"/>
          <w:sz w:val="24"/>
          <w:szCs w:val="24"/>
          <w:lang w:val="es-PR"/>
        </w:rPr>
        <w:t xml:space="preserve">su </w:t>
      </w:r>
      <w:r w:rsidRPr="004D6436">
        <w:rPr>
          <w:rFonts w:ascii="Arial" w:hAnsi="Arial" w:cs="Arial"/>
          <w:sz w:val="24"/>
          <w:szCs w:val="24"/>
          <w:lang w:val="es-PR"/>
        </w:rPr>
        <w:t xml:space="preserve">envergadura y complejidad técnica.  </w:t>
      </w:r>
    </w:p>
    <w:p w:rsidR="007B22C2" w:rsidRDefault="004D6436" w:rsidP="000B7074">
      <w:pPr>
        <w:spacing w:line="240" w:lineRule="auto"/>
        <w:jc w:val="both"/>
        <w:rPr>
          <w:rFonts w:ascii="Arial" w:hAnsi="Arial" w:cs="Arial"/>
          <w:sz w:val="24"/>
          <w:szCs w:val="24"/>
          <w:lang w:val="es-PR"/>
        </w:rPr>
      </w:pPr>
      <w:r w:rsidRPr="004D6436">
        <w:rPr>
          <w:rFonts w:ascii="Arial" w:hAnsi="Arial" w:cs="Arial"/>
          <w:sz w:val="24"/>
          <w:szCs w:val="24"/>
          <w:lang w:val="es-PR"/>
        </w:rPr>
        <w:t xml:space="preserve">Durante esta administración, </w:t>
      </w:r>
      <w:r w:rsidR="007B22C2">
        <w:rPr>
          <w:rFonts w:ascii="Arial" w:hAnsi="Arial" w:cs="Arial"/>
          <w:sz w:val="24"/>
          <w:szCs w:val="24"/>
          <w:lang w:val="es-PR"/>
        </w:rPr>
        <w:t xml:space="preserve">se cumplieron con los compromisos anteriormente accedidos y </w:t>
      </w:r>
      <w:r w:rsidRPr="004D6436">
        <w:rPr>
          <w:rFonts w:ascii="Arial" w:hAnsi="Arial" w:cs="Arial"/>
          <w:sz w:val="24"/>
          <w:szCs w:val="24"/>
          <w:lang w:val="es-PR"/>
        </w:rPr>
        <w:t>cerró la transacción del Aeropuerto Internacional Luis Muñoz Marín</w:t>
      </w:r>
      <w:r w:rsidR="007B22C2">
        <w:rPr>
          <w:rFonts w:ascii="Arial" w:hAnsi="Arial" w:cs="Arial"/>
          <w:sz w:val="24"/>
          <w:szCs w:val="24"/>
          <w:lang w:val="es-PR"/>
        </w:rPr>
        <w:t>, la cual ha permitido la continuidad de la operación y el desarrollo y mejoramiento del aeropuerto.</w:t>
      </w:r>
    </w:p>
    <w:p w:rsidR="004D6436" w:rsidRPr="004D6436" w:rsidRDefault="00F651EE" w:rsidP="000B7074">
      <w:pPr>
        <w:spacing w:line="240" w:lineRule="auto"/>
        <w:jc w:val="both"/>
        <w:rPr>
          <w:rFonts w:ascii="Arial" w:hAnsi="Arial" w:cs="Arial"/>
          <w:sz w:val="24"/>
          <w:szCs w:val="24"/>
          <w:lang w:val="es-PR"/>
        </w:rPr>
      </w:pPr>
      <w:r>
        <w:rPr>
          <w:rFonts w:ascii="Arial" w:hAnsi="Arial" w:cs="Arial"/>
          <w:sz w:val="24"/>
          <w:szCs w:val="24"/>
          <w:lang w:val="es-PR"/>
        </w:rPr>
        <w:lastRenderedPageBreak/>
        <w:t>L</w:t>
      </w:r>
      <w:r w:rsidR="004D6436" w:rsidRPr="004D6436">
        <w:rPr>
          <w:rFonts w:ascii="Arial" w:hAnsi="Arial" w:cs="Arial"/>
          <w:sz w:val="24"/>
          <w:szCs w:val="24"/>
          <w:lang w:val="es-PR"/>
        </w:rPr>
        <w:t>a Autoridad asistió en la negociación y cierre da la quinta enmienda al Contrato de Concesión de la PR-22 y la PR-5</w:t>
      </w:r>
      <w:r w:rsidR="000E3524">
        <w:rPr>
          <w:rFonts w:ascii="Arial" w:hAnsi="Arial" w:cs="Arial"/>
          <w:sz w:val="24"/>
          <w:szCs w:val="24"/>
          <w:lang w:val="es-PR"/>
        </w:rPr>
        <w:t>,</w:t>
      </w:r>
      <w:r w:rsidR="004D6436" w:rsidRPr="004D6436">
        <w:rPr>
          <w:rFonts w:ascii="Arial" w:hAnsi="Arial" w:cs="Arial"/>
          <w:sz w:val="24"/>
          <w:szCs w:val="24"/>
          <w:lang w:val="es-PR"/>
        </w:rPr>
        <w:t xml:space="preserve"> mediante la cual se obtuvo un pago por adelantado inicial de $100 millones y en el verano del 2017 se obtendrá un segundo y último pago de $15 millones. El gobierno </w:t>
      </w:r>
      <w:r w:rsidR="000E3524">
        <w:rPr>
          <w:rFonts w:ascii="Arial" w:hAnsi="Arial" w:cs="Arial"/>
          <w:sz w:val="24"/>
          <w:szCs w:val="24"/>
          <w:lang w:val="es-PR"/>
        </w:rPr>
        <w:t>logró</w:t>
      </w:r>
      <w:r w:rsidR="000E3524" w:rsidRPr="004D6436">
        <w:rPr>
          <w:rFonts w:ascii="Arial" w:hAnsi="Arial" w:cs="Arial"/>
          <w:sz w:val="24"/>
          <w:szCs w:val="24"/>
          <w:lang w:val="es-PR"/>
        </w:rPr>
        <w:t xml:space="preserve"> </w:t>
      </w:r>
      <w:r w:rsidR="004D6436" w:rsidRPr="004D6436">
        <w:rPr>
          <w:rFonts w:ascii="Arial" w:hAnsi="Arial" w:cs="Arial"/>
          <w:sz w:val="24"/>
          <w:szCs w:val="24"/>
          <w:lang w:val="es-PR"/>
        </w:rPr>
        <w:t xml:space="preserve">utilizar los fondos recibidos para el pago de deuda y para cubrir el pago de ciertos servicios esenciales. </w:t>
      </w:r>
    </w:p>
    <w:p w:rsidR="004D6436" w:rsidRPr="004D6436" w:rsidRDefault="004D6436" w:rsidP="000B7074">
      <w:pPr>
        <w:spacing w:line="240" w:lineRule="auto"/>
        <w:jc w:val="both"/>
        <w:rPr>
          <w:rFonts w:ascii="Arial" w:hAnsi="Arial" w:cs="Arial"/>
          <w:sz w:val="24"/>
          <w:szCs w:val="24"/>
          <w:lang w:val="es-PR"/>
        </w:rPr>
      </w:pPr>
      <w:r w:rsidRPr="004D6436">
        <w:rPr>
          <w:rFonts w:ascii="Arial" w:hAnsi="Arial" w:cs="Arial"/>
          <w:sz w:val="24"/>
          <w:szCs w:val="24"/>
          <w:lang w:val="es-PR"/>
        </w:rPr>
        <w:t xml:space="preserve">Asimismo, durante esta administración la Autoridad ha continuado e iniciado el desarrollo de los siguientes proyectos: </w:t>
      </w:r>
      <w:r w:rsidR="00F651EE">
        <w:rPr>
          <w:rFonts w:ascii="Arial" w:hAnsi="Arial" w:cs="Arial"/>
          <w:sz w:val="24"/>
          <w:szCs w:val="24"/>
          <w:lang w:val="es-PR"/>
        </w:rPr>
        <w:t xml:space="preserve">concesión de la </w:t>
      </w:r>
      <w:r w:rsidRPr="004D6436">
        <w:rPr>
          <w:rFonts w:ascii="Arial" w:hAnsi="Arial" w:cs="Arial"/>
          <w:sz w:val="24"/>
          <w:szCs w:val="24"/>
          <w:lang w:val="es-PR"/>
        </w:rPr>
        <w:t xml:space="preserve">Transportación Marítima; Corredor del Noroeste; actualización del estudio </w:t>
      </w:r>
      <w:r w:rsidR="00F75CD0">
        <w:rPr>
          <w:rFonts w:ascii="Arial" w:hAnsi="Arial" w:cs="Arial"/>
          <w:sz w:val="24"/>
          <w:szCs w:val="24"/>
          <w:lang w:val="es-PR"/>
        </w:rPr>
        <w:t xml:space="preserve">de deseabilidad y conveniencia </w:t>
      </w:r>
      <w:r w:rsidRPr="004D6436">
        <w:rPr>
          <w:rFonts w:ascii="Arial" w:hAnsi="Arial" w:cs="Arial"/>
          <w:sz w:val="24"/>
          <w:szCs w:val="24"/>
          <w:lang w:val="es-PR"/>
        </w:rPr>
        <w:t xml:space="preserve">para la concesión de las autopistas restantes; el proyecto de Conversión a Gas Natural de las Plantas del Norte; el proyecto de Transportación Colectiva de Caguas a San Juan y el proyecto para un sistema centralizado para la emisión de tarjetas de identificación y licencias de conducir en cumplimiento con el </w:t>
      </w:r>
      <w:r w:rsidRPr="000B7074">
        <w:rPr>
          <w:rFonts w:ascii="Arial" w:hAnsi="Arial" w:cs="Arial"/>
          <w:i/>
          <w:sz w:val="24"/>
          <w:szCs w:val="24"/>
          <w:lang w:val="es-PR"/>
        </w:rPr>
        <w:t>Real ID Act</w:t>
      </w:r>
      <w:r w:rsidRPr="004D6436">
        <w:rPr>
          <w:rFonts w:ascii="Arial" w:hAnsi="Arial" w:cs="Arial"/>
          <w:sz w:val="24"/>
          <w:szCs w:val="24"/>
          <w:lang w:val="es-PR"/>
        </w:rPr>
        <w:t xml:space="preserve">, entre otros. </w:t>
      </w:r>
    </w:p>
    <w:p w:rsidR="00754C7B" w:rsidRPr="004D6436" w:rsidRDefault="004A794E" w:rsidP="000B7074">
      <w:pPr>
        <w:pStyle w:val="ListParagraph"/>
        <w:numPr>
          <w:ilvl w:val="0"/>
          <w:numId w:val="4"/>
        </w:numPr>
        <w:spacing w:line="360" w:lineRule="auto"/>
        <w:ind w:left="720"/>
        <w:jc w:val="both"/>
        <w:rPr>
          <w:rFonts w:ascii="Arial" w:hAnsi="Arial" w:cs="Arial"/>
          <w:b/>
          <w:sz w:val="24"/>
          <w:szCs w:val="24"/>
          <w:lang w:val="es-ES"/>
        </w:rPr>
      </w:pPr>
      <w:r w:rsidRPr="004D6436">
        <w:rPr>
          <w:rFonts w:ascii="Arial" w:hAnsi="Arial" w:cs="Arial"/>
          <w:b/>
          <w:sz w:val="24"/>
          <w:szCs w:val="24"/>
          <w:lang w:val="es-ES"/>
        </w:rPr>
        <w:t xml:space="preserve">SITUACIÓN FINANCIERA </w:t>
      </w:r>
    </w:p>
    <w:p w:rsidR="009E5ACE" w:rsidRPr="004D6436" w:rsidRDefault="009E5ACE" w:rsidP="000B7074">
      <w:pPr>
        <w:pStyle w:val="ListParagraph"/>
        <w:numPr>
          <w:ilvl w:val="0"/>
          <w:numId w:val="9"/>
        </w:numPr>
        <w:spacing w:line="360" w:lineRule="auto"/>
        <w:jc w:val="both"/>
        <w:rPr>
          <w:rFonts w:ascii="Arial" w:hAnsi="Arial" w:cs="Arial"/>
          <w:b/>
          <w:i/>
          <w:sz w:val="24"/>
          <w:szCs w:val="24"/>
          <w:lang w:val="es-PR"/>
        </w:rPr>
      </w:pPr>
      <w:r w:rsidRPr="004D6436">
        <w:rPr>
          <w:rFonts w:ascii="Arial" w:hAnsi="Arial" w:cs="Arial"/>
          <w:b/>
          <w:i/>
          <w:sz w:val="24"/>
          <w:szCs w:val="24"/>
          <w:lang w:val="es-ES_tradnl"/>
        </w:rPr>
        <w:t xml:space="preserve">Presupuesto Operacional Aprobado </w:t>
      </w:r>
    </w:p>
    <w:p w:rsidR="009E5ACE" w:rsidRPr="004D6436" w:rsidRDefault="009E5ACE" w:rsidP="00035EAB">
      <w:pPr>
        <w:pStyle w:val="ListParagraph"/>
        <w:spacing w:line="240" w:lineRule="auto"/>
        <w:ind w:left="360"/>
        <w:jc w:val="both"/>
        <w:rPr>
          <w:lang w:val="es-PR"/>
        </w:rPr>
      </w:pPr>
      <w:r w:rsidRPr="004D6436">
        <w:rPr>
          <w:rFonts w:ascii="Arial" w:hAnsi="Arial" w:cs="Arial"/>
          <w:sz w:val="24"/>
          <w:szCs w:val="24"/>
          <w:lang w:val="es-PR"/>
        </w:rPr>
        <w:t>El presupuesto operacional apro</w:t>
      </w:r>
      <w:r w:rsidR="00F75CD0">
        <w:rPr>
          <w:rFonts w:ascii="Arial" w:hAnsi="Arial" w:cs="Arial"/>
          <w:sz w:val="24"/>
          <w:szCs w:val="24"/>
          <w:lang w:val="es-PR"/>
        </w:rPr>
        <w:t>b</w:t>
      </w:r>
      <w:r w:rsidRPr="004D6436">
        <w:rPr>
          <w:rFonts w:ascii="Arial" w:hAnsi="Arial" w:cs="Arial"/>
          <w:sz w:val="24"/>
          <w:szCs w:val="24"/>
          <w:lang w:val="es-PR"/>
        </w:rPr>
        <w:t>ado por la Junta de Directores de la Autoridad para el Año Fiscal 2016-2017 asciende a $1,362,582</w:t>
      </w:r>
      <w:r w:rsidR="00084E50" w:rsidRPr="004D6436">
        <w:rPr>
          <w:rFonts w:ascii="Arial" w:hAnsi="Arial" w:cs="Arial"/>
          <w:sz w:val="24"/>
          <w:szCs w:val="24"/>
          <w:lang w:val="es-PR"/>
        </w:rPr>
        <w:t>.</w:t>
      </w:r>
      <w:r w:rsidR="00084E50" w:rsidRPr="004D6436">
        <w:rPr>
          <w:rStyle w:val="FootnoteReference"/>
          <w:rFonts w:ascii="Arial" w:hAnsi="Arial" w:cs="Arial"/>
          <w:sz w:val="24"/>
          <w:szCs w:val="24"/>
          <w:lang w:val="es-PR"/>
        </w:rPr>
        <w:footnoteReference w:id="1"/>
      </w:r>
      <w:r w:rsidR="00084E50" w:rsidRPr="004D6436">
        <w:rPr>
          <w:rFonts w:ascii="Arial" w:hAnsi="Arial" w:cs="Arial"/>
          <w:sz w:val="24"/>
          <w:szCs w:val="24"/>
          <w:lang w:val="es-PR"/>
        </w:rPr>
        <w:t xml:space="preserve"> Este presupuesto representa </w:t>
      </w:r>
      <w:r w:rsidRPr="004D6436">
        <w:rPr>
          <w:rFonts w:ascii="Arial" w:hAnsi="Arial" w:cs="Arial"/>
          <w:sz w:val="24"/>
          <w:szCs w:val="24"/>
          <w:lang w:val="es-PR"/>
        </w:rPr>
        <w:t>una disminución de un 33% en comparación con</w:t>
      </w:r>
      <w:r w:rsidR="004D1A13">
        <w:rPr>
          <w:rFonts w:ascii="Arial" w:hAnsi="Arial" w:cs="Arial"/>
          <w:sz w:val="24"/>
          <w:szCs w:val="24"/>
          <w:lang w:val="es-PR"/>
        </w:rPr>
        <w:t xml:space="preserve"> el</w:t>
      </w:r>
      <w:r w:rsidRPr="004D6436">
        <w:rPr>
          <w:rFonts w:ascii="Arial" w:hAnsi="Arial" w:cs="Arial"/>
          <w:sz w:val="24"/>
          <w:szCs w:val="24"/>
          <w:lang w:val="es-PR"/>
        </w:rPr>
        <w:t xml:space="preserve"> </w:t>
      </w:r>
      <w:r w:rsidRPr="00F75CD0">
        <w:rPr>
          <w:rFonts w:ascii="Arial" w:hAnsi="Arial" w:cs="Arial"/>
          <w:b/>
          <w:sz w:val="24"/>
          <w:szCs w:val="24"/>
          <w:lang w:val="es-PR"/>
        </w:rPr>
        <w:t>presupuesto operacional</w:t>
      </w:r>
      <w:r w:rsidRPr="004D6436">
        <w:rPr>
          <w:rFonts w:ascii="Arial" w:hAnsi="Arial" w:cs="Arial"/>
          <w:b/>
          <w:sz w:val="24"/>
          <w:szCs w:val="24"/>
          <w:lang w:val="es-PR"/>
        </w:rPr>
        <w:t xml:space="preserve"> </w:t>
      </w:r>
      <w:r w:rsidRPr="004D6436">
        <w:rPr>
          <w:rFonts w:ascii="Arial" w:hAnsi="Arial" w:cs="Arial"/>
          <w:sz w:val="24"/>
          <w:szCs w:val="24"/>
          <w:lang w:val="es-PR"/>
        </w:rPr>
        <w:t>aprobado por la Junta de Directores para el Año Fiscal 2015-</w:t>
      </w:r>
      <w:r w:rsidRPr="004D6436">
        <w:rPr>
          <w:rFonts w:ascii="Arial" w:hAnsi="Arial" w:cs="Arial"/>
          <w:sz w:val="24"/>
          <w:szCs w:val="24"/>
          <w:lang w:val="es-PR"/>
        </w:rPr>
        <w:lastRenderedPageBreak/>
        <w:t>2016</w:t>
      </w:r>
      <w:r w:rsidR="00984321">
        <w:rPr>
          <w:rFonts w:ascii="Arial" w:hAnsi="Arial" w:cs="Arial"/>
          <w:sz w:val="24"/>
          <w:szCs w:val="24"/>
          <w:lang w:val="es-PR"/>
        </w:rPr>
        <w:t xml:space="preserve"> y una reducción de un 75% en comparación al presupuesto del </w:t>
      </w:r>
      <w:r w:rsidR="004D1A13">
        <w:rPr>
          <w:rFonts w:ascii="Arial" w:hAnsi="Arial" w:cs="Arial"/>
          <w:sz w:val="24"/>
          <w:szCs w:val="24"/>
          <w:lang w:val="es-PR"/>
        </w:rPr>
        <w:t xml:space="preserve">Año Fiscal </w:t>
      </w:r>
      <w:r w:rsidR="00984321">
        <w:rPr>
          <w:rFonts w:ascii="Arial" w:hAnsi="Arial" w:cs="Arial"/>
          <w:sz w:val="24"/>
          <w:szCs w:val="24"/>
          <w:lang w:val="es-PR"/>
        </w:rPr>
        <w:t>2012-2013</w:t>
      </w:r>
      <w:r w:rsidR="009D2241">
        <w:rPr>
          <w:rFonts w:ascii="Arial" w:hAnsi="Arial" w:cs="Arial"/>
          <w:sz w:val="24"/>
          <w:szCs w:val="24"/>
          <w:lang w:val="es-PR"/>
        </w:rPr>
        <w:t>.</w:t>
      </w:r>
      <w:r w:rsidR="00084E50" w:rsidRPr="004D6436">
        <w:rPr>
          <w:rFonts w:ascii="Arial" w:hAnsi="Arial" w:cs="Arial"/>
          <w:sz w:val="24"/>
          <w:szCs w:val="24"/>
          <w:lang w:val="es-PR"/>
        </w:rPr>
        <w:t xml:space="preserve"> </w:t>
      </w:r>
      <w:r w:rsidR="00B73555" w:rsidRPr="004D6436">
        <w:rPr>
          <w:rFonts w:ascii="Arial" w:hAnsi="Arial" w:cs="Arial"/>
          <w:sz w:val="24"/>
          <w:szCs w:val="24"/>
          <w:lang w:val="es-PR"/>
        </w:rPr>
        <w:t>Véa</w:t>
      </w:r>
      <w:r w:rsidR="00984321">
        <w:rPr>
          <w:rFonts w:ascii="Arial" w:hAnsi="Arial" w:cs="Arial"/>
          <w:sz w:val="24"/>
          <w:szCs w:val="24"/>
          <w:lang w:val="es-PR"/>
        </w:rPr>
        <w:t>n</w:t>
      </w:r>
      <w:r w:rsidR="00B73555" w:rsidRPr="004D6436">
        <w:rPr>
          <w:rFonts w:ascii="Arial" w:hAnsi="Arial" w:cs="Arial"/>
          <w:sz w:val="24"/>
          <w:szCs w:val="24"/>
          <w:lang w:val="es-PR"/>
        </w:rPr>
        <w:t>se</w:t>
      </w:r>
      <w:r w:rsidR="00A45227" w:rsidRPr="004D6436">
        <w:rPr>
          <w:rFonts w:ascii="Arial" w:hAnsi="Arial" w:cs="Arial"/>
          <w:sz w:val="24"/>
          <w:szCs w:val="24"/>
          <w:lang w:val="es-PR"/>
        </w:rPr>
        <w:t xml:space="preserve"> </w:t>
      </w:r>
      <w:r w:rsidR="00984321" w:rsidRPr="000B7074">
        <w:rPr>
          <w:rFonts w:ascii="Arial" w:hAnsi="Arial" w:cs="Arial"/>
          <w:b/>
          <w:sz w:val="24"/>
          <w:szCs w:val="24"/>
          <w:lang w:val="es-PR"/>
        </w:rPr>
        <w:t>Tabla</w:t>
      </w:r>
      <w:r w:rsidR="00984321">
        <w:rPr>
          <w:rFonts w:ascii="Arial" w:hAnsi="Arial" w:cs="Arial"/>
          <w:b/>
          <w:sz w:val="24"/>
          <w:szCs w:val="24"/>
          <w:lang w:val="es-PR"/>
        </w:rPr>
        <w:t>s</w:t>
      </w:r>
      <w:r w:rsidR="00984321" w:rsidRPr="000B7074">
        <w:rPr>
          <w:rFonts w:ascii="Arial" w:hAnsi="Arial" w:cs="Arial"/>
          <w:b/>
          <w:sz w:val="24"/>
          <w:szCs w:val="24"/>
          <w:lang w:val="es-PR"/>
        </w:rPr>
        <w:t xml:space="preserve"> 1</w:t>
      </w:r>
      <w:r w:rsidR="00984321">
        <w:rPr>
          <w:rFonts w:ascii="Arial" w:hAnsi="Arial" w:cs="Arial"/>
          <w:b/>
          <w:sz w:val="24"/>
          <w:szCs w:val="24"/>
          <w:lang w:val="es-PR"/>
        </w:rPr>
        <w:t xml:space="preserve"> </w:t>
      </w:r>
      <w:r w:rsidR="00984321" w:rsidRPr="000B7074">
        <w:rPr>
          <w:rFonts w:ascii="Arial" w:hAnsi="Arial" w:cs="Arial"/>
          <w:sz w:val="24"/>
          <w:szCs w:val="24"/>
          <w:lang w:val="es-PR"/>
        </w:rPr>
        <w:t>y</w:t>
      </w:r>
      <w:r w:rsidR="00984321">
        <w:rPr>
          <w:rFonts w:ascii="Arial" w:hAnsi="Arial" w:cs="Arial"/>
          <w:b/>
          <w:sz w:val="24"/>
          <w:szCs w:val="24"/>
          <w:lang w:val="es-PR"/>
        </w:rPr>
        <w:t xml:space="preserve"> 2</w:t>
      </w:r>
      <w:r w:rsidR="00984321">
        <w:rPr>
          <w:rFonts w:ascii="Arial" w:hAnsi="Arial" w:cs="Arial"/>
          <w:sz w:val="24"/>
          <w:szCs w:val="24"/>
          <w:lang w:val="es-PR"/>
        </w:rPr>
        <w:t xml:space="preserve"> del </w:t>
      </w:r>
      <w:r w:rsidR="00A45227" w:rsidRPr="004D6436">
        <w:rPr>
          <w:rFonts w:ascii="Arial" w:hAnsi="Arial" w:cs="Arial"/>
          <w:b/>
          <w:sz w:val="24"/>
          <w:szCs w:val="24"/>
          <w:lang w:val="es-PR"/>
        </w:rPr>
        <w:t xml:space="preserve">Anejo </w:t>
      </w:r>
      <w:r w:rsidR="00782467">
        <w:rPr>
          <w:rFonts w:ascii="Arial" w:hAnsi="Arial" w:cs="Arial"/>
          <w:b/>
          <w:sz w:val="24"/>
          <w:szCs w:val="24"/>
          <w:lang w:val="es-PR"/>
        </w:rPr>
        <w:t>A</w:t>
      </w:r>
      <w:r w:rsidR="00A45227" w:rsidRPr="004D6436">
        <w:rPr>
          <w:rFonts w:ascii="Arial" w:hAnsi="Arial" w:cs="Arial"/>
          <w:sz w:val="24"/>
          <w:szCs w:val="24"/>
          <w:lang w:val="es-PR"/>
        </w:rPr>
        <w:t xml:space="preserve">. </w:t>
      </w:r>
      <w:r w:rsidR="00661ABA" w:rsidRPr="004D6436">
        <w:rPr>
          <w:lang w:val="es-PR"/>
        </w:rPr>
        <w:t xml:space="preserve"> </w:t>
      </w:r>
    </w:p>
    <w:p w:rsidR="00661ABA" w:rsidRDefault="00661ABA" w:rsidP="000B7074">
      <w:pPr>
        <w:spacing w:line="240" w:lineRule="auto"/>
        <w:ind w:left="360"/>
        <w:jc w:val="both"/>
        <w:rPr>
          <w:rFonts w:ascii="Arial" w:hAnsi="Arial" w:cs="Arial"/>
          <w:sz w:val="24"/>
          <w:szCs w:val="24"/>
          <w:lang w:val="es-PR"/>
        </w:rPr>
      </w:pPr>
      <w:r w:rsidRPr="004D6436">
        <w:rPr>
          <w:rFonts w:ascii="Arial" w:hAnsi="Arial" w:cs="Arial"/>
          <w:sz w:val="24"/>
          <w:szCs w:val="24"/>
          <w:lang w:val="es-PR"/>
        </w:rPr>
        <w:t xml:space="preserve">La partida de nómina en el presupuesto </w:t>
      </w:r>
      <w:r w:rsidR="00984321">
        <w:rPr>
          <w:rFonts w:ascii="Arial" w:hAnsi="Arial" w:cs="Arial"/>
          <w:sz w:val="24"/>
          <w:szCs w:val="24"/>
          <w:lang w:val="es-PR"/>
        </w:rPr>
        <w:t>de este</w:t>
      </w:r>
      <w:r w:rsidRPr="004D6436">
        <w:rPr>
          <w:rFonts w:ascii="Arial" w:hAnsi="Arial" w:cs="Arial"/>
          <w:sz w:val="24"/>
          <w:szCs w:val="24"/>
          <w:lang w:val="es-PR"/>
        </w:rPr>
        <w:t xml:space="preserve"> </w:t>
      </w:r>
      <w:r w:rsidR="004D1A13">
        <w:rPr>
          <w:rFonts w:ascii="Arial" w:hAnsi="Arial" w:cs="Arial"/>
          <w:sz w:val="24"/>
          <w:szCs w:val="24"/>
          <w:lang w:val="es-PR"/>
        </w:rPr>
        <w:t>A</w:t>
      </w:r>
      <w:r w:rsidR="004D1A13" w:rsidRPr="004D6436">
        <w:rPr>
          <w:rFonts w:ascii="Arial" w:hAnsi="Arial" w:cs="Arial"/>
          <w:sz w:val="24"/>
          <w:szCs w:val="24"/>
          <w:lang w:val="es-PR"/>
        </w:rPr>
        <w:t xml:space="preserve">ño </w:t>
      </w:r>
      <w:r w:rsidR="004D1A13">
        <w:rPr>
          <w:rFonts w:ascii="Arial" w:hAnsi="Arial" w:cs="Arial"/>
          <w:sz w:val="24"/>
          <w:szCs w:val="24"/>
          <w:lang w:val="es-PR"/>
        </w:rPr>
        <w:t>F</w:t>
      </w:r>
      <w:r w:rsidR="004D1A13" w:rsidRPr="004D6436">
        <w:rPr>
          <w:rFonts w:ascii="Arial" w:hAnsi="Arial" w:cs="Arial"/>
          <w:sz w:val="24"/>
          <w:szCs w:val="24"/>
          <w:lang w:val="es-PR"/>
        </w:rPr>
        <w:t xml:space="preserve">iscal </w:t>
      </w:r>
      <w:r w:rsidRPr="004D6436">
        <w:rPr>
          <w:rFonts w:ascii="Arial" w:hAnsi="Arial" w:cs="Arial"/>
          <w:sz w:val="24"/>
          <w:szCs w:val="24"/>
          <w:lang w:val="es-PR"/>
        </w:rPr>
        <w:t xml:space="preserve">es de $559,693. Esta cantidad </w:t>
      </w:r>
      <w:r w:rsidR="00F651EE">
        <w:rPr>
          <w:rFonts w:ascii="Arial" w:hAnsi="Arial" w:cs="Arial"/>
          <w:sz w:val="24"/>
          <w:szCs w:val="24"/>
          <w:lang w:val="es-PR"/>
        </w:rPr>
        <w:t>contempla</w:t>
      </w:r>
      <w:r w:rsidRPr="004D6436">
        <w:rPr>
          <w:rFonts w:ascii="Arial" w:hAnsi="Arial" w:cs="Arial"/>
          <w:sz w:val="24"/>
          <w:szCs w:val="24"/>
          <w:lang w:val="es-PR"/>
        </w:rPr>
        <w:t xml:space="preserve"> 5 puestos</w:t>
      </w:r>
      <w:r w:rsidR="00F651EE">
        <w:rPr>
          <w:rFonts w:ascii="Arial" w:hAnsi="Arial" w:cs="Arial"/>
          <w:sz w:val="24"/>
          <w:szCs w:val="24"/>
          <w:lang w:val="es-PR"/>
        </w:rPr>
        <w:t>,</w:t>
      </w:r>
      <w:r w:rsidRPr="004D6436">
        <w:rPr>
          <w:rFonts w:ascii="Arial" w:hAnsi="Arial" w:cs="Arial"/>
          <w:sz w:val="24"/>
          <w:szCs w:val="24"/>
          <w:lang w:val="es-PR"/>
        </w:rPr>
        <w:t xml:space="preserve"> </w:t>
      </w:r>
      <w:r w:rsidR="00F651EE" w:rsidRPr="00AF5377">
        <w:rPr>
          <w:rFonts w:ascii="Arial" w:hAnsi="Arial" w:cs="Arial"/>
          <w:sz w:val="24"/>
          <w:szCs w:val="24"/>
          <w:lang w:val="es-PR"/>
        </w:rPr>
        <w:t>de los cuales 4 son de confianza y están ocupados y uno es de carrera y se encuentra vacante</w:t>
      </w:r>
      <w:r w:rsidR="00F651EE">
        <w:rPr>
          <w:rFonts w:ascii="Arial" w:hAnsi="Arial" w:cs="Arial"/>
          <w:sz w:val="24"/>
          <w:szCs w:val="24"/>
          <w:lang w:val="es-PR"/>
        </w:rPr>
        <w:t>.</w:t>
      </w:r>
      <w:r w:rsidRPr="004D6436">
        <w:rPr>
          <w:rFonts w:ascii="Arial" w:hAnsi="Arial" w:cs="Arial"/>
          <w:sz w:val="24"/>
          <w:szCs w:val="24"/>
          <w:lang w:val="es-PR"/>
        </w:rPr>
        <w:t xml:space="preserve"> </w:t>
      </w:r>
      <w:r w:rsidR="007550C6" w:rsidRPr="004D6436">
        <w:rPr>
          <w:rFonts w:ascii="Arial" w:hAnsi="Arial" w:cs="Arial"/>
          <w:sz w:val="24"/>
          <w:szCs w:val="24"/>
          <w:lang w:val="es-PR"/>
        </w:rPr>
        <w:t xml:space="preserve">En el presupuesto se incluye el puesto de </w:t>
      </w:r>
      <w:r w:rsidR="007550C6" w:rsidRPr="004D6436">
        <w:rPr>
          <w:rFonts w:ascii="Arial" w:hAnsi="Arial" w:cs="Arial"/>
          <w:i/>
          <w:sz w:val="24"/>
          <w:szCs w:val="24"/>
          <w:lang w:val="es-PR"/>
        </w:rPr>
        <w:t>Oficial de Cumplimiento</w:t>
      </w:r>
      <w:r w:rsidR="007550C6">
        <w:rPr>
          <w:rFonts w:ascii="Arial" w:hAnsi="Arial" w:cs="Arial"/>
          <w:sz w:val="24"/>
          <w:szCs w:val="24"/>
          <w:lang w:val="es-PR"/>
        </w:rPr>
        <w:t xml:space="preserve">, de carrera, </w:t>
      </w:r>
      <w:r w:rsidR="007550C6" w:rsidRPr="004D6436">
        <w:rPr>
          <w:rFonts w:ascii="Arial" w:hAnsi="Arial" w:cs="Arial"/>
          <w:sz w:val="24"/>
          <w:szCs w:val="24"/>
          <w:lang w:val="es-PR"/>
        </w:rPr>
        <w:t xml:space="preserve">para atender la necesidad de destinar un recurso específico para asegurar el cumplimiento con la responsabilidad que </w:t>
      </w:r>
      <w:r w:rsidR="007550C6">
        <w:rPr>
          <w:rFonts w:ascii="Arial" w:hAnsi="Arial" w:cs="Arial"/>
          <w:sz w:val="24"/>
          <w:szCs w:val="24"/>
          <w:lang w:val="es-PR"/>
        </w:rPr>
        <w:t>tiene</w:t>
      </w:r>
      <w:r w:rsidR="007550C6" w:rsidRPr="004D6436">
        <w:rPr>
          <w:rFonts w:ascii="Arial" w:hAnsi="Arial" w:cs="Arial"/>
          <w:sz w:val="24"/>
          <w:szCs w:val="24"/>
          <w:lang w:val="es-PR"/>
        </w:rPr>
        <w:t xml:space="preserve"> la Autoridad de supervisar y rendir un informe anual del cumplimiento de las partes contratantes con las obligaciones </w:t>
      </w:r>
      <w:r w:rsidR="007550C6">
        <w:rPr>
          <w:rFonts w:ascii="Arial" w:hAnsi="Arial" w:cs="Arial"/>
          <w:sz w:val="24"/>
          <w:szCs w:val="24"/>
          <w:lang w:val="es-PR"/>
        </w:rPr>
        <w:t xml:space="preserve">de </w:t>
      </w:r>
      <w:r w:rsidR="007550C6" w:rsidRPr="004D6436">
        <w:rPr>
          <w:rFonts w:ascii="Arial" w:hAnsi="Arial" w:cs="Arial"/>
          <w:sz w:val="24"/>
          <w:szCs w:val="24"/>
          <w:lang w:val="es-PR"/>
        </w:rPr>
        <w:t xml:space="preserve">los contratos de Alianzas otorgados al amparo de </w:t>
      </w:r>
      <w:r w:rsidR="007550C6">
        <w:rPr>
          <w:rFonts w:ascii="Arial" w:hAnsi="Arial" w:cs="Arial"/>
          <w:sz w:val="24"/>
          <w:szCs w:val="24"/>
          <w:lang w:val="es-PR"/>
        </w:rPr>
        <w:t>la</w:t>
      </w:r>
      <w:r w:rsidR="007550C6" w:rsidRPr="004D6436">
        <w:rPr>
          <w:rFonts w:ascii="Arial" w:hAnsi="Arial" w:cs="Arial"/>
          <w:sz w:val="24"/>
          <w:szCs w:val="24"/>
          <w:lang w:val="es-PR"/>
        </w:rPr>
        <w:t xml:space="preserve"> </w:t>
      </w:r>
      <w:r w:rsidR="007550C6">
        <w:rPr>
          <w:rFonts w:ascii="Arial" w:hAnsi="Arial" w:cs="Arial"/>
          <w:sz w:val="24"/>
          <w:szCs w:val="24"/>
          <w:lang w:val="es-PR"/>
        </w:rPr>
        <w:t>Ley de APP</w:t>
      </w:r>
      <w:r w:rsidR="007550C6" w:rsidRPr="004D6436">
        <w:rPr>
          <w:rFonts w:ascii="Arial" w:hAnsi="Arial" w:cs="Arial"/>
          <w:sz w:val="24"/>
          <w:szCs w:val="24"/>
          <w:lang w:val="es-PR"/>
        </w:rPr>
        <w:t>. La creación de este puesto es parte de una de las acciones que ha tomado la Autoridad en atención a las recomendaciones provistas por la Oficina del Auditor General del BGF en su Informe de Auditor</w:t>
      </w:r>
      <w:r w:rsidR="007550C6">
        <w:rPr>
          <w:rFonts w:ascii="Arial" w:hAnsi="Arial" w:cs="Arial"/>
          <w:sz w:val="24"/>
          <w:szCs w:val="24"/>
          <w:lang w:val="es-PR"/>
        </w:rPr>
        <w:t>í</w:t>
      </w:r>
      <w:r w:rsidR="007550C6" w:rsidRPr="004D6436">
        <w:rPr>
          <w:rFonts w:ascii="Arial" w:hAnsi="Arial" w:cs="Arial"/>
          <w:sz w:val="24"/>
          <w:szCs w:val="24"/>
          <w:lang w:val="es-PR"/>
        </w:rPr>
        <w:t>a 15-08-A de 2 de junio de 2015.</w:t>
      </w:r>
    </w:p>
    <w:tbl>
      <w:tblPr>
        <w:tblStyle w:val="TableGrid"/>
        <w:tblW w:w="8460" w:type="dxa"/>
        <w:jc w:val="center"/>
        <w:tblLayout w:type="fixed"/>
        <w:tblLook w:val="04A0" w:firstRow="1" w:lastRow="0" w:firstColumn="1" w:lastColumn="0" w:noHBand="0" w:noVBand="1"/>
      </w:tblPr>
      <w:tblGrid>
        <w:gridCol w:w="2880"/>
        <w:gridCol w:w="1080"/>
        <w:gridCol w:w="1080"/>
        <w:gridCol w:w="1080"/>
        <w:gridCol w:w="1170"/>
        <w:gridCol w:w="1170"/>
      </w:tblGrid>
      <w:tr w:rsidR="00661ABA" w:rsidRPr="005030AE" w:rsidTr="000B7074">
        <w:trPr>
          <w:trHeight w:val="341"/>
          <w:jc w:val="center"/>
        </w:trPr>
        <w:tc>
          <w:tcPr>
            <w:tcW w:w="8460" w:type="dxa"/>
            <w:gridSpan w:val="6"/>
            <w:shd w:val="clear" w:color="auto" w:fill="F9DDA5"/>
            <w:vAlign w:val="center"/>
          </w:tcPr>
          <w:p w:rsidR="00661ABA" w:rsidRPr="004D6436" w:rsidRDefault="00661ABA" w:rsidP="00257ABA">
            <w:pPr>
              <w:spacing w:line="276" w:lineRule="auto"/>
              <w:jc w:val="center"/>
              <w:rPr>
                <w:rFonts w:ascii="Arial" w:hAnsi="Arial" w:cs="Arial"/>
                <w:b/>
                <w:bCs/>
                <w:sz w:val="18"/>
                <w:szCs w:val="18"/>
                <w:lang w:val="es-ES_tradnl" w:eastAsia="es-PR"/>
              </w:rPr>
            </w:pPr>
            <w:r w:rsidRPr="004D6436">
              <w:rPr>
                <w:rFonts w:ascii="Arial" w:hAnsi="Arial" w:cs="Arial"/>
                <w:b/>
                <w:bCs/>
                <w:sz w:val="18"/>
                <w:szCs w:val="18"/>
                <w:lang w:val="es-ES_tradnl" w:eastAsia="es-PR"/>
              </w:rPr>
              <w:t>DESGLOSE DE N</w:t>
            </w:r>
            <w:r w:rsidR="007550C6">
              <w:rPr>
                <w:rFonts w:ascii="Arial" w:hAnsi="Arial" w:cs="Arial"/>
                <w:b/>
                <w:bCs/>
                <w:sz w:val="18"/>
                <w:szCs w:val="18"/>
                <w:lang w:val="es-ES_tradnl" w:eastAsia="es-PR"/>
              </w:rPr>
              <w:t>Ó</w:t>
            </w:r>
            <w:r w:rsidRPr="004D6436">
              <w:rPr>
                <w:rFonts w:ascii="Arial" w:hAnsi="Arial" w:cs="Arial"/>
                <w:b/>
                <w:bCs/>
                <w:sz w:val="18"/>
                <w:szCs w:val="18"/>
                <w:lang w:val="es-ES_tradnl" w:eastAsia="es-PR"/>
              </w:rPr>
              <w:t>MINA Y PUESTOS OCUPADOS</w:t>
            </w:r>
          </w:p>
        </w:tc>
      </w:tr>
      <w:tr w:rsidR="00661ABA" w:rsidRPr="004D6436" w:rsidTr="000B7074">
        <w:trPr>
          <w:trHeight w:val="324"/>
          <w:jc w:val="center"/>
        </w:trPr>
        <w:tc>
          <w:tcPr>
            <w:tcW w:w="2880" w:type="dxa"/>
            <w:shd w:val="clear" w:color="auto" w:fill="A6A6A6" w:themeFill="background1" w:themeFillShade="A6"/>
            <w:vAlign w:val="center"/>
          </w:tcPr>
          <w:p w:rsidR="00661ABA" w:rsidRPr="004D6436" w:rsidRDefault="00661ABA" w:rsidP="00257ABA">
            <w:pPr>
              <w:spacing w:line="276" w:lineRule="auto"/>
              <w:jc w:val="center"/>
              <w:rPr>
                <w:rFonts w:ascii="Arial" w:hAnsi="Arial" w:cs="Arial"/>
                <w:sz w:val="18"/>
                <w:szCs w:val="18"/>
                <w:lang w:val="es-ES_tradnl"/>
              </w:rPr>
            </w:pPr>
          </w:p>
        </w:tc>
        <w:tc>
          <w:tcPr>
            <w:tcW w:w="1080" w:type="dxa"/>
            <w:shd w:val="clear" w:color="auto" w:fill="A6A6A6" w:themeFill="background1" w:themeFillShade="A6"/>
            <w:vAlign w:val="bottom"/>
          </w:tcPr>
          <w:p w:rsidR="00661ABA" w:rsidRPr="004D6436" w:rsidRDefault="00661ABA" w:rsidP="00257ABA">
            <w:pPr>
              <w:spacing w:line="276" w:lineRule="auto"/>
              <w:jc w:val="right"/>
              <w:rPr>
                <w:rFonts w:ascii="Arial" w:hAnsi="Arial" w:cs="Arial"/>
                <w:b/>
                <w:color w:val="FFFFFF" w:themeColor="background1"/>
                <w:sz w:val="18"/>
                <w:szCs w:val="18"/>
              </w:rPr>
            </w:pPr>
            <w:r w:rsidRPr="004D6436">
              <w:rPr>
                <w:rFonts w:ascii="Arial" w:hAnsi="Arial" w:cs="Arial"/>
                <w:b/>
                <w:color w:val="FFFFFF" w:themeColor="background1"/>
                <w:sz w:val="18"/>
                <w:szCs w:val="18"/>
              </w:rPr>
              <w:t>2012-2013</w:t>
            </w:r>
          </w:p>
        </w:tc>
        <w:tc>
          <w:tcPr>
            <w:tcW w:w="1080" w:type="dxa"/>
            <w:shd w:val="clear" w:color="auto" w:fill="A6A6A6" w:themeFill="background1" w:themeFillShade="A6"/>
            <w:vAlign w:val="bottom"/>
          </w:tcPr>
          <w:p w:rsidR="00661ABA" w:rsidRPr="004D6436" w:rsidRDefault="00661ABA" w:rsidP="00257ABA">
            <w:pPr>
              <w:spacing w:line="276" w:lineRule="auto"/>
              <w:jc w:val="right"/>
              <w:rPr>
                <w:rFonts w:ascii="Arial" w:hAnsi="Arial" w:cs="Arial"/>
                <w:b/>
                <w:color w:val="FFFFFF" w:themeColor="background1"/>
                <w:sz w:val="18"/>
                <w:szCs w:val="18"/>
              </w:rPr>
            </w:pPr>
            <w:r w:rsidRPr="004D6436">
              <w:rPr>
                <w:rFonts w:ascii="Arial" w:hAnsi="Arial" w:cs="Arial"/>
                <w:b/>
                <w:color w:val="FFFFFF" w:themeColor="background1"/>
                <w:sz w:val="18"/>
                <w:szCs w:val="18"/>
              </w:rPr>
              <w:t>2013-2014</w:t>
            </w:r>
          </w:p>
        </w:tc>
        <w:tc>
          <w:tcPr>
            <w:tcW w:w="1080" w:type="dxa"/>
            <w:shd w:val="clear" w:color="auto" w:fill="A6A6A6" w:themeFill="background1" w:themeFillShade="A6"/>
            <w:vAlign w:val="bottom"/>
          </w:tcPr>
          <w:p w:rsidR="00661ABA" w:rsidRPr="004D6436" w:rsidRDefault="00661ABA" w:rsidP="00257ABA">
            <w:pPr>
              <w:spacing w:line="276" w:lineRule="auto"/>
              <w:jc w:val="right"/>
              <w:rPr>
                <w:rFonts w:ascii="Arial" w:hAnsi="Arial" w:cs="Arial"/>
                <w:b/>
                <w:color w:val="FFFFFF" w:themeColor="background1"/>
                <w:sz w:val="18"/>
                <w:szCs w:val="18"/>
              </w:rPr>
            </w:pPr>
            <w:r w:rsidRPr="004D6436">
              <w:rPr>
                <w:rFonts w:ascii="Arial" w:hAnsi="Arial" w:cs="Arial"/>
                <w:b/>
                <w:color w:val="FFFFFF" w:themeColor="background1"/>
                <w:sz w:val="18"/>
                <w:szCs w:val="18"/>
              </w:rPr>
              <w:t>2014-2015</w:t>
            </w:r>
          </w:p>
        </w:tc>
        <w:tc>
          <w:tcPr>
            <w:tcW w:w="1170" w:type="dxa"/>
            <w:shd w:val="clear" w:color="auto" w:fill="A6A6A6" w:themeFill="background1" w:themeFillShade="A6"/>
            <w:vAlign w:val="bottom"/>
          </w:tcPr>
          <w:p w:rsidR="00661ABA" w:rsidRPr="004D6436" w:rsidRDefault="00661ABA">
            <w:pPr>
              <w:spacing w:line="276" w:lineRule="auto"/>
              <w:jc w:val="right"/>
              <w:rPr>
                <w:rFonts w:ascii="Arial" w:hAnsi="Arial" w:cs="Arial"/>
                <w:b/>
                <w:color w:val="FFFFFF" w:themeColor="background1"/>
                <w:sz w:val="18"/>
                <w:szCs w:val="18"/>
              </w:rPr>
            </w:pPr>
            <w:r w:rsidRPr="004D6436">
              <w:rPr>
                <w:rFonts w:ascii="Arial" w:hAnsi="Arial" w:cs="Arial"/>
                <w:b/>
                <w:color w:val="FFFFFF" w:themeColor="background1"/>
                <w:sz w:val="18"/>
                <w:szCs w:val="18"/>
              </w:rPr>
              <w:t>2015-2016</w:t>
            </w:r>
          </w:p>
        </w:tc>
        <w:tc>
          <w:tcPr>
            <w:tcW w:w="1170" w:type="dxa"/>
            <w:shd w:val="clear" w:color="auto" w:fill="A6A6A6" w:themeFill="background1" w:themeFillShade="A6"/>
            <w:vAlign w:val="bottom"/>
          </w:tcPr>
          <w:p w:rsidR="00661ABA" w:rsidRPr="004D6436" w:rsidRDefault="00661ABA">
            <w:pPr>
              <w:spacing w:line="276" w:lineRule="auto"/>
              <w:jc w:val="right"/>
              <w:rPr>
                <w:rFonts w:ascii="Arial" w:hAnsi="Arial" w:cs="Arial"/>
                <w:b/>
                <w:color w:val="FFFFFF" w:themeColor="background1"/>
                <w:sz w:val="18"/>
                <w:szCs w:val="18"/>
              </w:rPr>
            </w:pPr>
            <w:r w:rsidRPr="004D6436">
              <w:rPr>
                <w:rFonts w:ascii="Arial" w:hAnsi="Arial" w:cs="Arial"/>
                <w:b/>
                <w:color w:val="FFFFFF" w:themeColor="background1"/>
                <w:sz w:val="18"/>
                <w:szCs w:val="18"/>
              </w:rPr>
              <w:t>2016-2017</w:t>
            </w:r>
          </w:p>
        </w:tc>
      </w:tr>
      <w:tr w:rsidR="00723674" w:rsidRPr="004D6436" w:rsidTr="000B7074">
        <w:trPr>
          <w:trHeight w:val="324"/>
          <w:jc w:val="center"/>
        </w:trPr>
        <w:tc>
          <w:tcPr>
            <w:tcW w:w="2880" w:type="dxa"/>
            <w:vAlign w:val="bottom"/>
          </w:tcPr>
          <w:p w:rsidR="00661ABA" w:rsidRPr="004D6436" w:rsidRDefault="00661ABA" w:rsidP="00257ABA">
            <w:pPr>
              <w:spacing w:line="276" w:lineRule="auto"/>
              <w:rPr>
                <w:rFonts w:ascii="Arial" w:hAnsi="Arial" w:cs="Arial"/>
                <w:sz w:val="18"/>
                <w:szCs w:val="18"/>
              </w:rPr>
            </w:pPr>
            <w:r w:rsidRPr="004D6436">
              <w:rPr>
                <w:rFonts w:ascii="Arial" w:hAnsi="Arial" w:cs="Arial"/>
                <w:sz w:val="18"/>
                <w:szCs w:val="18"/>
              </w:rPr>
              <w:t>Nómina presupuestada</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$766,789</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$664,950</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$537,276</w:t>
            </w:r>
          </w:p>
        </w:tc>
        <w:tc>
          <w:tcPr>
            <w:tcW w:w="117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$537,276</w:t>
            </w:r>
          </w:p>
        </w:tc>
        <w:tc>
          <w:tcPr>
            <w:tcW w:w="117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$559,693</w:t>
            </w:r>
          </w:p>
        </w:tc>
      </w:tr>
      <w:tr w:rsidR="00661ABA" w:rsidRPr="004D6436" w:rsidTr="000B7074">
        <w:trPr>
          <w:trHeight w:val="324"/>
          <w:jc w:val="center"/>
        </w:trPr>
        <w:tc>
          <w:tcPr>
            <w:tcW w:w="2880" w:type="dxa"/>
            <w:shd w:val="clear" w:color="auto" w:fill="auto"/>
            <w:vAlign w:val="bottom"/>
          </w:tcPr>
          <w:p w:rsidR="00661ABA" w:rsidRPr="004D6436" w:rsidRDefault="00661ABA" w:rsidP="00257ABA">
            <w:pPr>
              <w:spacing w:line="276" w:lineRule="auto"/>
              <w:rPr>
                <w:rFonts w:ascii="Arial" w:hAnsi="Arial" w:cs="Arial"/>
                <w:sz w:val="18"/>
                <w:szCs w:val="18"/>
              </w:rPr>
            </w:pPr>
            <w:r w:rsidRPr="004D6436">
              <w:rPr>
                <w:rFonts w:ascii="Arial" w:hAnsi="Arial" w:cs="Arial"/>
                <w:sz w:val="18"/>
                <w:szCs w:val="18"/>
              </w:rPr>
              <w:t>Total de puestos presupuestados</w:t>
            </w:r>
          </w:p>
        </w:tc>
        <w:tc>
          <w:tcPr>
            <w:tcW w:w="1080" w:type="dxa"/>
            <w:shd w:val="clear" w:color="auto" w:fill="auto"/>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7</w:t>
            </w:r>
          </w:p>
        </w:tc>
        <w:tc>
          <w:tcPr>
            <w:tcW w:w="1080" w:type="dxa"/>
            <w:shd w:val="clear" w:color="auto" w:fill="auto"/>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6</w:t>
            </w:r>
          </w:p>
        </w:tc>
        <w:tc>
          <w:tcPr>
            <w:tcW w:w="1080" w:type="dxa"/>
            <w:shd w:val="clear" w:color="auto" w:fill="auto"/>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w:t>
            </w:r>
          </w:p>
        </w:tc>
        <w:tc>
          <w:tcPr>
            <w:tcW w:w="1170" w:type="dxa"/>
            <w:shd w:val="clear" w:color="auto" w:fill="auto"/>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w:t>
            </w:r>
          </w:p>
        </w:tc>
        <w:tc>
          <w:tcPr>
            <w:tcW w:w="1170" w:type="dxa"/>
            <w:shd w:val="clear" w:color="auto" w:fill="auto"/>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w:t>
            </w:r>
          </w:p>
        </w:tc>
      </w:tr>
      <w:tr w:rsidR="00723674" w:rsidRPr="004D6436" w:rsidTr="000B7074">
        <w:trPr>
          <w:trHeight w:val="324"/>
          <w:jc w:val="center"/>
        </w:trPr>
        <w:tc>
          <w:tcPr>
            <w:tcW w:w="2880" w:type="dxa"/>
            <w:vAlign w:val="bottom"/>
          </w:tcPr>
          <w:p w:rsidR="00661ABA" w:rsidRPr="004D6436" w:rsidRDefault="00661ABA" w:rsidP="00257ABA">
            <w:pPr>
              <w:spacing w:line="276" w:lineRule="auto"/>
              <w:rPr>
                <w:rFonts w:ascii="Arial" w:hAnsi="Arial" w:cs="Arial"/>
                <w:sz w:val="18"/>
                <w:szCs w:val="18"/>
              </w:rPr>
            </w:pPr>
            <w:r w:rsidRPr="004D6436">
              <w:rPr>
                <w:rFonts w:ascii="Arial" w:hAnsi="Arial" w:cs="Arial"/>
                <w:sz w:val="18"/>
                <w:szCs w:val="18"/>
              </w:rPr>
              <w:t xml:space="preserve">Total de puestos </w:t>
            </w:r>
            <w:r w:rsidR="00984321">
              <w:rPr>
                <w:rFonts w:ascii="Arial" w:hAnsi="Arial" w:cs="Arial"/>
                <w:sz w:val="18"/>
                <w:szCs w:val="18"/>
              </w:rPr>
              <w:t>o</w:t>
            </w:r>
            <w:r w:rsidRPr="004D6436">
              <w:rPr>
                <w:rFonts w:ascii="Arial" w:hAnsi="Arial" w:cs="Arial"/>
                <w:sz w:val="18"/>
                <w:szCs w:val="18"/>
              </w:rPr>
              <w:t>cupados</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7</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w:t>
            </w:r>
            <w:r w:rsidRPr="004D6436">
              <w:rPr>
                <w:rStyle w:val="FootnoteReference"/>
                <w:rFonts w:ascii="Arial" w:hAnsi="Arial" w:cs="Arial"/>
                <w:sz w:val="18"/>
                <w:szCs w:val="18"/>
              </w:rPr>
              <w:footnoteReference w:id="2"/>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4</w:t>
            </w:r>
          </w:p>
        </w:tc>
        <w:tc>
          <w:tcPr>
            <w:tcW w:w="117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4</w:t>
            </w:r>
          </w:p>
        </w:tc>
        <w:tc>
          <w:tcPr>
            <w:tcW w:w="1170" w:type="dxa"/>
            <w:vAlign w:val="bottom"/>
          </w:tcPr>
          <w:p w:rsidR="00661ABA" w:rsidRPr="004D6436" w:rsidRDefault="008357D0" w:rsidP="00257ABA">
            <w:pPr>
              <w:spacing w:line="276" w:lineRule="auto"/>
              <w:jc w:val="right"/>
              <w:rPr>
                <w:rFonts w:ascii="Arial" w:hAnsi="Arial" w:cs="Arial"/>
                <w:sz w:val="18"/>
                <w:szCs w:val="18"/>
              </w:rPr>
            </w:pPr>
            <w:r>
              <w:rPr>
                <w:rFonts w:ascii="Arial" w:hAnsi="Arial" w:cs="Arial"/>
                <w:sz w:val="18"/>
                <w:szCs w:val="18"/>
              </w:rPr>
              <w:t>4</w:t>
            </w:r>
          </w:p>
        </w:tc>
      </w:tr>
      <w:tr w:rsidR="00723674" w:rsidRPr="004D6436" w:rsidTr="000B7074">
        <w:trPr>
          <w:trHeight w:val="324"/>
          <w:jc w:val="center"/>
        </w:trPr>
        <w:tc>
          <w:tcPr>
            <w:tcW w:w="2880" w:type="dxa"/>
            <w:vAlign w:val="bottom"/>
          </w:tcPr>
          <w:p w:rsidR="00661ABA" w:rsidRPr="004D6436" w:rsidRDefault="00661ABA" w:rsidP="00257ABA">
            <w:pPr>
              <w:spacing w:line="276" w:lineRule="auto"/>
              <w:rPr>
                <w:rFonts w:ascii="Arial" w:hAnsi="Arial" w:cs="Arial"/>
                <w:sz w:val="18"/>
                <w:szCs w:val="18"/>
              </w:rPr>
            </w:pPr>
            <w:r w:rsidRPr="004D6436">
              <w:rPr>
                <w:rFonts w:ascii="Arial" w:hAnsi="Arial" w:cs="Arial"/>
                <w:sz w:val="18"/>
                <w:szCs w:val="18"/>
              </w:rPr>
              <w:t xml:space="preserve">Gasto </w:t>
            </w:r>
            <w:r w:rsidR="00984321">
              <w:rPr>
                <w:rFonts w:ascii="Arial" w:hAnsi="Arial" w:cs="Arial"/>
                <w:sz w:val="18"/>
                <w:szCs w:val="18"/>
              </w:rPr>
              <w:t xml:space="preserve">de </w:t>
            </w:r>
            <w:r w:rsidRPr="004D6436">
              <w:rPr>
                <w:rFonts w:ascii="Arial" w:hAnsi="Arial" w:cs="Arial"/>
                <w:sz w:val="18"/>
                <w:szCs w:val="18"/>
              </w:rPr>
              <w:t>nómina real</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$597,766</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$489,391</w:t>
            </w:r>
          </w:p>
        </w:tc>
        <w:tc>
          <w:tcPr>
            <w:tcW w:w="1080" w:type="dxa"/>
            <w:vAlign w:val="bottom"/>
          </w:tcPr>
          <w:p w:rsidR="00661ABA" w:rsidRPr="004D6436" w:rsidRDefault="00661ABA" w:rsidP="00257ABA">
            <w:pPr>
              <w:spacing w:line="276" w:lineRule="auto"/>
              <w:jc w:val="right"/>
              <w:rPr>
                <w:rFonts w:ascii="Arial" w:hAnsi="Arial" w:cs="Arial"/>
                <w:sz w:val="18"/>
                <w:szCs w:val="18"/>
              </w:rPr>
            </w:pPr>
            <w:r w:rsidRPr="004D6436">
              <w:rPr>
                <w:rFonts w:ascii="Arial" w:hAnsi="Arial" w:cs="Arial"/>
                <w:sz w:val="18"/>
                <w:szCs w:val="18"/>
              </w:rPr>
              <w:t>$296,775</w:t>
            </w:r>
          </w:p>
        </w:tc>
        <w:tc>
          <w:tcPr>
            <w:tcW w:w="1170" w:type="dxa"/>
            <w:vAlign w:val="bottom"/>
          </w:tcPr>
          <w:p w:rsidR="00661ABA" w:rsidRPr="004D6436" w:rsidRDefault="00661ABA">
            <w:pPr>
              <w:spacing w:line="276" w:lineRule="auto"/>
              <w:jc w:val="right"/>
              <w:rPr>
                <w:rFonts w:ascii="Arial" w:hAnsi="Arial" w:cs="Arial"/>
                <w:sz w:val="18"/>
                <w:szCs w:val="18"/>
              </w:rPr>
            </w:pPr>
            <w:r w:rsidRPr="004D6436">
              <w:rPr>
                <w:rFonts w:ascii="Arial" w:hAnsi="Arial" w:cs="Arial"/>
                <w:sz w:val="18"/>
                <w:szCs w:val="18"/>
              </w:rPr>
              <w:t>$</w:t>
            </w:r>
            <w:r w:rsidR="00782467" w:rsidRPr="004D6436">
              <w:rPr>
                <w:rFonts w:ascii="Arial" w:hAnsi="Arial" w:cs="Arial"/>
                <w:sz w:val="18"/>
                <w:szCs w:val="18"/>
              </w:rPr>
              <w:t>37</w:t>
            </w:r>
            <w:r w:rsidR="00782467">
              <w:rPr>
                <w:rFonts w:ascii="Arial" w:hAnsi="Arial" w:cs="Arial"/>
                <w:sz w:val="18"/>
                <w:szCs w:val="18"/>
              </w:rPr>
              <w:t>4</w:t>
            </w:r>
            <w:r w:rsidRPr="004D6436">
              <w:rPr>
                <w:rFonts w:ascii="Arial" w:hAnsi="Arial" w:cs="Arial"/>
                <w:sz w:val="18"/>
                <w:szCs w:val="18"/>
              </w:rPr>
              <w:t>,</w:t>
            </w:r>
            <w:r w:rsidR="00782467">
              <w:rPr>
                <w:rFonts w:ascii="Arial" w:hAnsi="Arial" w:cs="Arial"/>
                <w:sz w:val="18"/>
                <w:szCs w:val="18"/>
              </w:rPr>
              <w:t>57</w:t>
            </w:r>
            <w:r w:rsidR="00782467" w:rsidRPr="004D6436">
              <w:rPr>
                <w:rFonts w:ascii="Arial" w:hAnsi="Arial" w:cs="Arial"/>
                <w:sz w:val="18"/>
                <w:szCs w:val="18"/>
              </w:rPr>
              <w:t>4</w:t>
            </w:r>
          </w:p>
        </w:tc>
        <w:tc>
          <w:tcPr>
            <w:tcW w:w="1170" w:type="dxa"/>
            <w:vAlign w:val="bottom"/>
          </w:tcPr>
          <w:p w:rsidR="00661ABA" w:rsidRPr="004D6436" w:rsidRDefault="00661ABA" w:rsidP="00257ABA">
            <w:pPr>
              <w:spacing w:line="276" w:lineRule="auto"/>
              <w:jc w:val="right"/>
              <w:rPr>
                <w:rFonts w:ascii="Arial" w:hAnsi="Arial" w:cs="Arial"/>
                <w:sz w:val="18"/>
                <w:szCs w:val="18"/>
              </w:rPr>
            </w:pPr>
          </w:p>
        </w:tc>
      </w:tr>
    </w:tbl>
    <w:p w:rsidR="00661ABA" w:rsidRPr="004D6436" w:rsidRDefault="00661ABA" w:rsidP="001C05EA">
      <w:pPr>
        <w:jc w:val="both"/>
        <w:rPr>
          <w:rFonts w:ascii="Arial" w:hAnsi="Arial" w:cs="Arial"/>
          <w:sz w:val="18"/>
          <w:szCs w:val="18"/>
          <w:lang w:val="es-PR"/>
        </w:rPr>
      </w:pPr>
    </w:p>
    <w:p w:rsidR="00661ABA" w:rsidRPr="004D6436" w:rsidRDefault="00661ABA" w:rsidP="000B7074">
      <w:pPr>
        <w:spacing w:line="240" w:lineRule="auto"/>
        <w:ind w:left="360"/>
        <w:jc w:val="both"/>
        <w:rPr>
          <w:rFonts w:ascii="Arial" w:hAnsi="Arial" w:cs="Arial"/>
          <w:sz w:val="24"/>
          <w:szCs w:val="24"/>
          <w:lang w:val="es-PR"/>
        </w:rPr>
      </w:pPr>
      <w:r w:rsidRPr="004D6436">
        <w:rPr>
          <w:rFonts w:ascii="Arial" w:hAnsi="Arial" w:cs="Arial"/>
          <w:sz w:val="24"/>
          <w:szCs w:val="24"/>
          <w:lang w:val="es-PR"/>
        </w:rPr>
        <w:lastRenderedPageBreak/>
        <w:t xml:space="preserve">La tabla refleja una reducción significativa en gastos de nómina desde el comienzo de esta administración. </w:t>
      </w:r>
      <w:r w:rsidRPr="000B7074">
        <w:rPr>
          <w:rFonts w:ascii="Arial" w:hAnsi="Arial" w:cs="Arial"/>
          <w:sz w:val="24"/>
          <w:szCs w:val="24"/>
          <w:lang w:val="es-PR"/>
        </w:rPr>
        <w:t xml:space="preserve">Para el Año Fiscal </w:t>
      </w:r>
      <w:r w:rsidR="00782467" w:rsidRPr="000B7074">
        <w:rPr>
          <w:rFonts w:ascii="Arial" w:hAnsi="Arial" w:cs="Arial"/>
          <w:sz w:val="24"/>
          <w:szCs w:val="24"/>
          <w:lang w:val="es-PR"/>
        </w:rPr>
        <w:t>2015</w:t>
      </w:r>
      <w:r w:rsidRPr="000B7074">
        <w:rPr>
          <w:rFonts w:ascii="Arial" w:hAnsi="Arial" w:cs="Arial"/>
          <w:sz w:val="24"/>
          <w:szCs w:val="24"/>
          <w:lang w:val="es-PR"/>
        </w:rPr>
        <w:t>-</w:t>
      </w:r>
      <w:r w:rsidR="00782467" w:rsidRPr="000B7074">
        <w:rPr>
          <w:rFonts w:ascii="Arial" w:hAnsi="Arial" w:cs="Arial"/>
          <w:sz w:val="24"/>
          <w:szCs w:val="24"/>
          <w:lang w:val="es-PR"/>
        </w:rPr>
        <w:t>2016</w:t>
      </w:r>
      <w:r w:rsidRPr="000B7074">
        <w:rPr>
          <w:rFonts w:ascii="Arial" w:hAnsi="Arial" w:cs="Arial"/>
          <w:sz w:val="24"/>
          <w:szCs w:val="24"/>
          <w:lang w:val="es-PR"/>
        </w:rPr>
        <w:t xml:space="preserve">, la Autoridad </w:t>
      </w:r>
      <w:r w:rsidR="00F75CD0" w:rsidRPr="000B7074">
        <w:rPr>
          <w:rFonts w:ascii="Arial" w:hAnsi="Arial" w:cs="Arial"/>
          <w:sz w:val="24"/>
          <w:szCs w:val="24"/>
          <w:lang w:val="es-PR"/>
        </w:rPr>
        <w:t>terminó</w:t>
      </w:r>
      <w:r w:rsidRPr="000B7074">
        <w:rPr>
          <w:rFonts w:ascii="Arial" w:hAnsi="Arial" w:cs="Arial"/>
          <w:sz w:val="24"/>
          <w:szCs w:val="24"/>
          <w:lang w:val="es-PR"/>
        </w:rPr>
        <w:t xml:space="preserve"> con una reducción de 37%</w:t>
      </w:r>
      <w:r w:rsidRPr="004D6436">
        <w:rPr>
          <w:rFonts w:ascii="Arial" w:hAnsi="Arial" w:cs="Arial"/>
          <w:sz w:val="24"/>
          <w:szCs w:val="24"/>
          <w:lang w:val="es-PR"/>
        </w:rPr>
        <w:t xml:space="preserve"> en el gasto total de nómina comparado con el Año Fiscal 2012-2013.</w:t>
      </w:r>
    </w:p>
    <w:p w:rsidR="00791F60" w:rsidRPr="004D6436" w:rsidRDefault="00791F60" w:rsidP="00791F60">
      <w:pPr>
        <w:spacing w:line="240" w:lineRule="auto"/>
        <w:ind w:left="360"/>
        <w:jc w:val="both"/>
        <w:rPr>
          <w:rFonts w:ascii="Arial" w:hAnsi="Arial" w:cs="Arial"/>
          <w:sz w:val="24"/>
          <w:szCs w:val="24"/>
          <w:lang w:val="es-PR"/>
        </w:rPr>
      </w:pPr>
      <w:r w:rsidRPr="00782467">
        <w:rPr>
          <w:rFonts w:ascii="Arial" w:hAnsi="Arial" w:cs="Arial"/>
          <w:sz w:val="24"/>
          <w:szCs w:val="24"/>
          <w:lang w:val="es-PR"/>
        </w:rPr>
        <w:t>Para el Año Fiscal 2016-2017, la Autoridad mantiene contratos de servicios profesionales y consultivos por la cantidad total de $10,793,930 de los cuales</w:t>
      </w:r>
      <w:r>
        <w:rPr>
          <w:rFonts w:ascii="Arial" w:hAnsi="Arial" w:cs="Arial"/>
          <w:sz w:val="24"/>
          <w:szCs w:val="24"/>
          <w:lang w:val="es-PR"/>
        </w:rPr>
        <w:t xml:space="preserve"> $</w:t>
      </w:r>
      <w:r w:rsidRPr="00782467">
        <w:rPr>
          <w:rFonts w:ascii="Arial" w:hAnsi="Arial" w:cs="Arial"/>
          <w:sz w:val="24"/>
          <w:szCs w:val="24"/>
          <w:lang w:val="es-PR"/>
        </w:rPr>
        <w:t>9,371,930 están relacionados al desarrollo de proyectos de Alianzas,</w:t>
      </w:r>
      <w:r>
        <w:rPr>
          <w:rFonts w:ascii="Arial" w:hAnsi="Arial" w:cs="Arial"/>
          <w:sz w:val="24"/>
          <w:szCs w:val="24"/>
          <w:lang w:val="es-PR"/>
        </w:rPr>
        <w:t xml:space="preserve"> $</w:t>
      </w:r>
      <w:r w:rsidRPr="00782467">
        <w:rPr>
          <w:rFonts w:ascii="Arial" w:hAnsi="Arial" w:cs="Arial"/>
          <w:sz w:val="24"/>
          <w:szCs w:val="24"/>
          <w:lang w:val="es-PR"/>
        </w:rPr>
        <w:t xml:space="preserve">1,063,600 están relacionados a Proyectos de Alianzas de Menor Escala y $358,400 a otros contratos de asuntos generales operacionales de la corporación pública. En el </w:t>
      </w:r>
      <w:r w:rsidRPr="000B7074">
        <w:rPr>
          <w:rFonts w:ascii="Arial" w:hAnsi="Arial" w:cs="Arial"/>
          <w:b/>
          <w:sz w:val="24"/>
          <w:szCs w:val="24"/>
          <w:lang w:val="es-PR"/>
        </w:rPr>
        <w:t xml:space="preserve">Anejo </w:t>
      </w:r>
      <w:r>
        <w:rPr>
          <w:rFonts w:ascii="Arial" w:hAnsi="Arial" w:cs="Arial"/>
          <w:b/>
          <w:sz w:val="24"/>
          <w:szCs w:val="24"/>
          <w:lang w:val="es-PR"/>
        </w:rPr>
        <w:t>B</w:t>
      </w:r>
      <w:r w:rsidRPr="00782467">
        <w:rPr>
          <w:rFonts w:ascii="Arial" w:hAnsi="Arial" w:cs="Arial"/>
          <w:sz w:val="24"/>
          <w:szCs w:val="24"/>
          <w:lang w:val="es-PR"/>
        </w:rPr>
        <w:t xml:space="preserve">, se incluye un listado de los contratos </w:t>
      </w:r>
      <w:r>
        <w:rPr>
          <w:rFonts w:ascii="Arial" w:hAnsi="Arial" w:cs="Arial"/>
          <w:sz w:val="24"/>
          <w:szCs w:val="24"/>
          <w:lang w:val="es-PR"/>
        </w:rPr>
        <w:t>vigente</w:t>
      </w:r>
      <w:r w:rsidRPr="00782467">
        <w:rPr>
          <w:rFonts w:ascii="Arial" w:hAnsi="Arial" w:cs="Arial"/>
          <w:sz w:val="24"/>
          <w:szCs w:val="24"/>
          <w:lang w:val="es-PR"/>
        </w:rPr>
        <w:t>s hasta la fecha</w:t>
      </w:r>
      <w:r>
        <w:rPr>
          <w:rFonts w:ascii="Arial" w:hAnsi="Arial" w:cs="Arial"/>
          <w:sz w:val="24"/>
          <w:szCs w:val="24"/>
          <w:lang w:val="es-PR"/>
        </w:rPr>
        <w:t>.</w:t>
      </w:r>
      <w:r w:rsidRPr="00782467">
        <w:rPr>
          <w:rFonts w:ascii="Arial" w:hAnsi="Arial" w:cs="Arial"/>
          <w:sz w:val="24"/>
          <w:szCs w:val="24"/>
          <w:lang w:val="es-PR"/>
        </w:rPr>
        <w:t xml:space="preserve"> </w:t>
      </w:r>
      <w:r w:rsidRPr="004D6436">
        <w:rPr>
          <w:rFonts w:ascii="Arial" w:hAnsi="Arial" w:cs="Arial"/>
          <w:sz w:val="24"/>
          <w:szCs w:val="24"/>
          <w:lang w:val="es-PR"/>
        </w:rPr>
        <w:t xml:space="preserve"> </w:t>
      </w:r>
    </w:p>
    <w:p w:rsidR="002862BC" w:rsidRDefault="00FF2683" w:rsidP="004D1A13">
      <w:pPr>
        <w:spacing w:line="240" w:lineRule="auto"/>
        <w:ind w:left="360"/>
        <w:jc w:val="both"/>
        <w:rPr>
          <w:rFonts w:ascii="Arial" w:hAnsi="Arial" w:cs="Arial"/>
          <w:sz w:val="24"/>
          <w:szCs w:val="24"/>
          <w:lang w:val="es-PR"/>
        </w:rPr>
      </w:pPr>
      <w:r w:rsidRPr="004D6436">
        <w:rPr>
          <w:rFonts w:ascii="Arial" w:hAnsi="Arial" w:cs="Arial"/>
          <w:sz w:val="24"/>
          <w:szCs w:val="24"/>
          <w:lang w:val="es-PR"/>
        </w:rPr>
        <w:t xml:space="preserve">Es importante señalar que, por lo general, los contratos de servicios profesionales </w:t>
      </w:r>
      <w:r w:rsidR="0005783E" w:rsidRPr="004D6436">
        <w:rPr>
          <w:rFonts w:ascii="Arial" w:hAnsi="Arial" w:cs="Arial"/>
          <w:sz w:val="24"/>
          <w:szCs w:val="24"/>
          <w:lang w:val="es-PR"/>
        </w:rPr>
        <w:t>para los p</w:t>
      </w:r>
      <w:r w:rsidRPr="004D6436">
        <w:rPr>
          <w:rFonts w:ascii="Arial" w:hAnsi="Arial" w:cs="Arial"/>
          <w:sz w:val="24"/>
          <w:szCs w:val="24"/>
          <w:lang w:val="es-PR"/>
        </w:rPr>
        <w:t xml:space="preserve">royectos de Alianzas se extienden por más de un año para asegurar la continuidad de los servicios en dichos proyectos que, por su complejidad, típicamente son de larga duración. Por tal razón, a algunos de estos contratos se </w:t>
      </w:r>
      <w:r w:rsidR="002862BC" w:rsidRPr="004D6436">
        <w:rPr>
          <w:rFonts w:ascii="Arial" w:hAnsi="Arial" w:cs="Arial"/>
          <w:sz w:val="24"/>
          <w:szCs w:val="24"/>
          <w:lang w:val="es-PR"/>
        </w:rPr>
        <w:t>les extendió su</w:t>
      </w:r>
      <w:r w:rsidRPr="004D6436">
        <w:rPr>
          <w:rFonts w:ascii="Arial" w:hAnsi="Arial" w:cs="Arial"/>
          <w:sz w:val="24"/>
          <w:szCs w:val="24"/>
          <w:lang w:val="es-PR"/>
        </w:rPr>
        <w:t xml:space="preserve"> vigencia sin añadir cuantía.</w:t>
      </w:r>
      <w:r w:rsidR="004D1A13">
        <w:rPr>
          <w:rFonts w:ascii="Arial" w:hAnsi="Arial" w:cs="Arial"/>
          <w:sz w:val="24"/>
          <w:szCs w:val="24"/>
          <w:lang w:val="es-PR"/>
        </w:rPr>
        <w:t xml:space="preserve"> </w:t>
      </w:r>
      <w:r w:rsidR="002862BC" w:rsidRPr="004D6436">
        <w:rPr>
          <w:rFonts w:ascii="Arial" w:hAnsi="Arial" w:cs="Arial"/>
          <w:sz w:val="24"/>
          <w:szCs w:val="24"/>
          <w:lang w:val="es-PR"/>
        </w:rPr>
        <w:t xml:space="preserve">Los servicios contratados son necesarios porque envuelven materias técnicas y complejas fuera del peritaje del personal de la Autoridad. </w:t>
      </w:r>
    </w:p>
    <w:p w:rsidR="00791F60" w:rsidRDefault="00791F60" w:rsidP="000B7074">
      <w:pPr>
        <w:spacing w:line="240" w:lineRule="auto"/>
        <w:ind w:left="360"/>
        <w:jc w:val="both"/>
        <w:rPr>
          <w:rFonts w:ascii="Arial" w:hAnsi="Arial" w:cs="Arial"/>
          <w:sz w:val="24"/>
          <w:szCs w:val="24"/>
          <w:lang w:val="es-PR"/>
        </w:rPr>
      </w:pPr>
      <w:r>
        <w:rPr>
          <w:rFonts w:ascii="Arial" w:hAnsi="Arial" w:cs="Arial"/>
          <w:sz w:val="24"/>
          <w:szCs w:val="24"/>
          <w:lang w:val="es-PR"/>
        </w:rPr>
        <w:t xml:space="preserve">En torno a los servicios profesionales y consultivos que no están relacionados al desarrollo de Alianzas, la Autoridad procuró una reducción de casi un 54% en comparación con el Año Fiscal 2015-2016. </w:t>
      </w:r>
      <w:r w:rsidRPr="004D6436">
        <w:rPr>
          <w:rFonts w:ascii="Arial" w:hAnsi="Arial" w:cs="Arial"/>
          <w:sz w:val="24"/>
          <w:szCs w:val="24"/>
          <w:lang w:val="es-PR"/>
        </w:rPr>
        <w:t xml:space="preserve">La reducción se debe a medidas estrictas de control de gastos, que incluyeron la renegociación </w:t>
      </w:r>
      <w:r w:rsidRPr="004D6436">
        <w:rPr>
          <w:rFonts w:ascii="Arial" w:hAnsi="Arial" w:cs="Arial"/>
          <w:sz w:val="24"/>
          <w:szCs w:val="24"/>
          <w:lang w:val="es-PR"/>
        </w:rPr>
        <w:lastRenderedPageBreak/>
        <w:t>de contratos o tarifas con consultores o contratistas externos</w:t>
      </w:r>
      <w:r>
        <w:rPr>
          <w:rFonts w:ascii="Arial" w:hAnsi="Arial" w:cs="Arial"/>
          <w:sz w:val="24"/>
          <w:szCs w:val="24"/>
          <w:lang w:val="es-PR"/>
        </w:rPr>
        <w:t xml:space="preserve">. Hacemos una distinción y separación de estos gastos con los gastos incurridos en el análisis y desarrollo de proyectos de Alianzas </w:t>
      </w:r>
      <w:r w:rsidRPr="004D6436">
        <w:rPr>
          <w:rFonts w:ascii="Arial" w:hAnsi="Arial" w:cs="Arial"/>
          <w:sz w:val="24"/>
          <w:szCs w:val="24"/>
          <w:lang w:val="es-PR"/>
        </w:rPr>
        <w:t>porque dichos gastos se incluyen como parte de los presupuestos individuales que la Autoridad prepara para cada proyecto de Alianza, los cuales deberán ser reembolsados por las Entidades Gubernamentales Participantes y por ende, incluidos en sus respectivos presupuestos.</w:t>
      </w:r>
    </w:p>
    <w:p w:rsidR="002862BC" w:rsidRPr="004D6436" w:rsidRDefault="002862BC" w:rsidP="000B7074">
      <w:pPr>
        <w:pStyle w:val="ListParagraph"/>
        <w:numPr>
          <w:ilvl w:val="0"/>
          <w:numId w:val="9"/>
        </w:numPr>
        <w:spacing w:line="360" w:lineRule="auto"/>
        <w:jc w:val="both"/>
        <w:rPr>
          <w:rFonts w:ascii="Arial" w:hAnsi="Arial" w:cs="Arial"/>
          <w:b/>
          <w:i/>
          <w:sz w:val="24"/>
          <w:szCs w:val="24"/>
          <w:lang w:val="es-PR"/>
        </w:rPr>
      </w:pPr>
      <w:r w:rsidRPr="004D6436">
        <w:rPr>
          <w:rFonts w:ascii="Arial" w:hAnsi="Arial" w:cs="Arial"/>
          <w:b/>
          <w:i/>
          <w:sz w:val="24"/>
          <w:szCs w:val="24"/>
          <w:lang w:val="es-PR"/>
        </w:rPr>
        <w:t>Presupuesto para el Desarrollo de Alianzas</w:t>
      </w:r>
    </w:p>
    <w:p w:rsidR="006229C3" w:rsidRPr="004D6436" w:rsidRDefault="006229C3" w:rsidP="000B7074">
      <w:pPr>
        <w:pStyle w:val="ListParagraph"/>
        <w:spacing w:after="0" w:line="240" w:lineRule="auto"/>
        <w:ind w:left="360"/>
        <w:jc w:val="both"/>
        <w:rPr>
          <w:rFonts w:ascii="Arial" w:hAnsi="Arial" w:cs="Arial"/>
          <w:sz w:val="24"/>
          <w:szCs w:val="24"/>
          <w:lang w:val="es-PR"/>
        </w:rPr>
      </w:pPr>
      <w:r w:rsidRPr="004D6436">
        <w:rPr>
          <w:rFonts w:ascii="Arial" w:hAnsi="Arial" w:cs="Arial"/>
          <w:sz w:val="24"/>
          <w:szCs w:val="24"/>
          <w:lang w:val="es-PR"/>
        </w:rPr>
        <w:t xml:space="preserve">La Autoridad desarrolló y recomendó un </w:t>
      </w:r>
      <w:r w:rsidRPr="004D6436">
        <w:rPr>
          <w:rFonts w:ascii="Arial" w:hAnsi="Arial" w:cs="Arial"/>
          <w:b/>
          <w:sz w:val="24"/>
          <w:szCs w:val="24"/>
          <w:lang w:val="es-PR"/>
        </w:rPr>
        <w:t xml:space="preserve">presupuesto para proyectos de Alianzas </w:t>
      </w:r>
      <w:r w:rsidRPr="004D6436">
        <w:rPr>
          <w:rFonts w:ascii="Arial" w:hAnsi="Arial" w:cs="Arial"/>
          <w:sz w:val="24"/>
          <w:szCs w:val="24"/>
          <w:lang w:val="es-PR"/>
        </w:rPr>
        <w:t>para el Año Fiscal 2016-2017 que asciende a $13,415,000.</w:t>
      </w:r>
      <w:r w:rsidRPr="004D6436">
        <w:rPr>
          <w:rFonts w:ascii="Arial" w:hAnsi="Arial" w:cs="Arial"/>
          <w:sz w:val="24"/>
          <w:szCs w:val="24"/>
          <w:vertAlign w:val="superscript"/>
          <w:lang w:val="es-PR"/>
        </w:rPr>
        <w:footnoteReference w:id="3"/>
      </w:r>
      <w:r w:rsidRPr="004D6436">
        <w:rPr>
          <w:rFonts w:ascii="Arial" w:hAnsi="Arial" w:cs="Arial"/>
          <w:sz w:val="24"/>
          <w:szCs w:val="24"/>
          <w:lang w:val="es-PR"/>
        </w:rPr>
        <w:t xml:space="preserve"> El mismo contempla la continuación de los proyectos que la Autoridad ya ha iniciado y la culminación del análisis de viabilidad para otros proyectos de nueva infraestructura y de concesión administrativa; todos los cuales tienen el objetivo de impulsar la economía del país con la creación de nuevos empleos o reducir o fijar el subsidio</w:t>
      </w:r>
      <w:r w:rsidR="00AF5377">
        <w:rPr>
          <w:rFonts w:ascii="Arial" w:hAnsi="Arial" w:cs="Arial"/>
          <w:sz w:val="24"/>
          <w:szCs w:val="24"/>
          <w:lang w:val="es-PR"/>
        </w:rPr>
        <w:t xml:space="preserve">, de ciertos servicios, </w:t>
      </w:r>
      <w:r w:rsidRPr="004D6436">
        <w:rPr>
          <w:rFonts w:ascii="Arial" w:hAnsi="Arial" w:cs="Arial"/>
          <w:sz w:val="24"/>
          <w:szCs w:val="24"/>
          <w:lang w:val="es-PR"/>
        </w:rPr>
        <w:t xml:space="preserve">proveniente del fondo general. </w:t>
      </w:r>
    </w:p>
    <w:p w:rsidR="006229C3" w:rsidRPr="004D6436" w:rsidRDefault="006229C3" w:rsidP="000B7074">
      <w:pPr>
        <w:pStyle w:val="ListParagraph"/>
        <w:spacing w:line="240" w:lineRule="auto"/>
        <w:jc w:val="both"/>
        <w:rPr>
          <w:rFonts w:ascii="Arial" w:hAnsi="Arial" w:cs="Arial"/>
          <w:sz w:val="24"/>
          <w:szCs w:val="24"/>
          <w:lang w:val="es-PR"/>
        </w:rPr>
      </w:pPr>
    </w:p>
    <w:p w:rsidR="002862BC" w:rsidRPr="004D6436" w:rsidRDefault="00AF5377" w:rsidP="000B7074">
      <w:pPr>
        <w:pStyle w:val="ListParagraph"/>
        <w:spacing w:line="240" w:lineRule="auto"/>
        <w:ind w:left="360"/>
        <w:jc w:val="both"/>
        <w:rPr>
          <w:rFonts w:ascii="Arial" w:hAnsi="Arial" w:cs="Arial"/>
          <w:sz w:val="24"/>
          <w:szCs w:val="24"/>
          <w:lang w:val="es-PR"/>
        </w:rPr>
      </w:pPr>
      <w:r>
        <w:rPr>
          <w:rFonts w:ascii="Arial" w:hAnsi="Arial" w:cs="Arial"/>
          <w:sz w:val="24"/>
          <w:szCs w:val="24"/>
          <w:lang w:val="es-PR"/>
        </w:rPr>
        <w:t>Sin embargo</w:t>
      </w:r>
      <w:r w:rsidR="006229C3" w:rsidRPr="004D6436">
        <w:rPr>
          <w:rFonts w:ascii="Arial" w:hAnsi="Arial" w:cs="Arial"/>
          <w:sz w:val="24"/>
          <w:szCs w:val="24"/>
          <w:lang w:val="es-PR"/>
        </w:rPr>
        <w:t xml:space="preserve">, en el </w:t>
      </w:r>
      <w:r w:rsidR="002862BC" w:rsidRPr="004D6436">
        <w:rPr>
          <w:rFonts w:ascii="Arial" w:hAnsi="Arial" w:cs="Arial"/>
          <w:sz w:val="24"/>
          <w:szCs w:val="24"/>
          <w:lang w:val="es-PR"/>
        </w:rPr>
        <w:t>presupuesto aprobado</w:t>
      </w:r>
      <w:r>
        <w:rPr>
          <w:rFonts w:ascii="Arial" w:hAnsi="Arial" w:cs="Arial"/>
          <w:sz w:val="24"/>
          <w:szCs w:val="24"/>
          <w:lang w:val="es-PR"/>
        </w:rPr>
        <w:t xml:space="preserve"> </w:t>
      </w:r>
      <w:r w:rsidR="002862BC" w:rsidRPr="004D6436">
        <w:rPr>
          <w:rFonts w:ascii="Arial" w:hAnsi="Arial" w:cs="Arial"/>
          <w:sz w:val="24"/>
          <w:szCs w:val="24"/>
          <w:lang w:val="es-PR"/>
        </w:rPr>
        <w:t>para el Año Fi</w:t>
      </w:r>
      <w:r w:rsidR="006229C3" w:rsidRPr="004D6436">
        <w:rPr>
          <w:rFonts w:ascii="Arial" w:hAnsi="Arial" w:cs="Arial"/>
          <w:sz w:val="24"/>
          <w:szCs w:val="24"/>
          <w:lang w:val="es-PR"/>
        </w:rPr>
        <w:t xml:space="preserve">scal 2016-2017, a la Autoridad </w:t>
      </w:r>
      <w:r w:rsidR="002862BC" w:rsidRPr="004D6436">
        <w:rPr>
          <w:rFonts w:ascii="Arial" w:hAnsi="Arial" w:cs="Arial"/>
          <w:sz w:val="24"/>
          <w:szCs w:val="24"/>
          <w:lang w:val="es-PR"/>
        </w:rPr>
        <w:t xml:space="preserve">le fue asignado un total </w:t>
      </w:r>
      <w:r w:rsidR="00FB4235" w:rsidRPr="004D6436">
        <w:rPr>
          <w:rFonts w:ascii="Arial" w:hAnsi="Arial" w:cs="Arial"/>
          <w:sz w:val="24"/>
          <w:szCs w:val="24"/>
          <w:lang w:val="es-PR"/>
        </w:rPr>
        <w:t>de $2,353,000. De este total, $1,363,000 corresponde al dinero aprobado para</w:t>
      </w:r>
      <w:r w:rsidR="002862BC" w:rsidRPr="004D6436">
        <w:rPr>
          <w:rFonts w:ascii="Arial" w:hAnsi="Arial" w:cs="Arial"/>
          <w:sz w:val="24"/>
          <w:szCs w:val="24"/>
          <w:lang w:val="es-PR"/>
        </w:rPr>
        <w:t xml:space="preserve"> el funcionamiento administrativo </w:t>
      </w:r>
      <w:r w:rsidR="00FB4235" w:rsidRPr="004D6436">
        <w:rPr>
          <w:rFonts w:ascii="Arial" w:hAnsi="Arial" w:cs="Arial"/>
          <w:sz w:val="24"/>
          <w:szCs w:val="24"/>
          <w:lang w:val="es-PR"/>
        </w:rPr>
        <w:t>de la corpo</w:t>
      </w:r>
      <w:r w:rsidR="00FB4235" w:rsidRPr="004D6436">
        <w:rPr>
          <w:rFonts w:ascii="Arial" w:hAnsi="Arial" w:cs="Arial"/>
          <w:sz w:val="24"/>
          <w:szCs w:val="24"/>
          <w:lang w:val="es-PR"/>
        </w:rPr>
        <w:lastRenderedPageBreak/>
        <w:t xml:space="preserve">ración pública </w:t>
      </w:r>
      <w:r w:rsidR="002862BC" w:rsidRPr="004D6436">
        <w:rPr>
          <w:rFonts w:ascii="Arial" w:hAnsi="Arial" w:cs="Arial"/>
          <w:sz w:val="24"/>
          <w:szCs w:val="24"/>
          <w:lang w:val="es-PR"/>
        </w:rPr>
        <w:t xml:space="preserve">según fue aprobado </w:t>
      </w:r>
      <w:r w:rsidR="00FB4235" w:rsidRPr="004D6436">
        <w:rPr>
          <w:rFonts w:ascii="Arial" w:hAnsi="Arial" w:cs="Arial"/>
          <w:sz w:val="24"/>
          <w:szCs w:val="24"/>
          <w:lang w:val="es-PR"/>
        </w:rPr>
        <w:t xml:space="preserve">por la Junta de la Autoridad, según se detalla arriba. Los restantes $990,000 fueron asignados para el funcionamiento de la Subdivisión de Proyectos de Menor Escala. </w:t>
      </w:r>
    </w:p>
    <w:p w:rsidR="00FB4235" w:rsidRPr="004D6436" w:rsidRDefault="00FB4235" w:rsidP="000B7074">
      <w:pPr>
        <w:pStyle w:val="ListParagraph"/>
        <w:spacing w:line="240" w:lineRule="auto"/>
        <w:jc w:val="both"/>
        <w:rPr>
          <w:rFonts w:ascii="Arial" w:hAnsi="Arial" w:cs="Arial"/>
          <w:sz w:val="24"/>
          <w:szCs w:val="24"/>
          <w:lang w:val="es-PR"/>
        </w:rPr>
      </w:pPr>
    </w:p>
    <w:p w:rsidR="006229C3" w:rsidRPr="009D2241" w:rsidRDefault="006229C3" w:rsidP="009D2241">
      <w:pPr>
        <w:spacing w:line="240" w:lineRule="auto"/>
        <w:ind w:left="360"/>
        <w:jc w:val="both"/>
        <w:rPr>
          <w:rFonts w:ascii="Arial" w:hAnsi="Arial" w:cs="Arial"/>
          <w:sz w:val="24"/>
          <w:szCs w:val="24"/>
          <w:lang w:val="es-PR"/>
        </w:rPr>
      </w:pPr>
      <w:r w:rsidRPr="004D6436">
        <w:rPr>
          <w:rFonts w:ascii="Arial" w:hAnsi="Arial" w:cs="Arial"/>
          <w:sz w:val="24"/>
          <w:szCs w:val="24"/>
          <w:lang w:val="es-PR"/>
        </w:rPr>
        <w:t>En vista de lo anterior, la Autoridad acudió a la Oficina de Gerencia y Presupuesto (</w:t>
      </w:r>
      <w:r w:rsidR="00D2246E" w:rsidRPr="004D6436">
        <w:rPr>
          <w:rFonts w:ascii="Arial" w:hAnsi="Arial" w:cs="Arial"/>
          <w:sz w:val="24"/>
          <w:szCs w:val="24"/>
          <w:lang w:val="es-PR"/>
        </w:rPr>
        <w:t>“</w:t>
      </w:r>
      <w:r w:rsidRPr="004D6436">
        <w:rPr>
          <w:rFonts w:ascii="Arial" w:hAnsi="Arial" w:cs="Arial"/>
          <w:sz w:val="24"/>
          <w:szCs w:val="24"/>
          <w:lang w:val="es-PR"/>
        </w:rPr>
        <w:t>OGP</w:t>
      </w:r>
      <w:r w:rsidR="00D2246E" w:rsidRPr="004D6436">
        <w:rPr>
          <w:rFonts w:ascii="Arial" w:hAnsi="Arial" w:cs="Arial"/>
          <w:sz w:val="24"/>
          <w:szCs w:val="24"/>
          <w:lang w:val="es-PR"/>
        </w:rPr>
        <w:t>”</w:t>
      </w:r>
      <w:r w:rsidRPr="004D6436">
        <w:rPr>
          <w:rFonts w:ascii="Arial" w:hAnsi="Arial" w:cs="Arial"/>
          <w:sz w:val="24"/>
          <w:szCs w:val="24"/>
          <w:lang w:val="es-PR"/>
        </w:rPr>
        <w:t xml:space="preserve">) para solicitar fondos adicionales para el desarrollo y continuación de los proyectos de Alianza que la Autoridad encamina. Como resultado de dicha solicitud, se asignaron $ 2,500,000 para el desarrollo de proyectos de Alianza. </w:t>
      </w:r>
      <w:r w:rsidRPr="009D2241">
        <w:rPr>
          <w:rFonts w:ascii="Arial" w:hAnsi="Arial" w:cs="Arial"/>
          <w:sz w:val="24"/>
          <w:szCs w:val="24"/>
          <w:lang w:val="es-PR"/>
        </w:rPr>
        <w:t xml:space="preserve">Según el presupuesto para el desarrollo de Alianzas preparado por la Autoridad, el presupuesto asignado </w:t>
      </w:r>
      <w:r w:rsidR="00FB4235" w:rsidRPr="009D2241">
        <w:rPr>
          <w:rFonts w:ascii="Arial" w:hAnsi="Arial" w:cs="Arial"/>
          <w:sz w:val="24"/>
          <w:szCs w:val="24"/>
          <w:lang w:val="es-PR"/>
        </w:rPr>
        <w:t>no es suficiente para cubrir los gastos para el desarrollo de proyectos de Alianza que, inicialmente (e históricamente) han sido sufragados por la agencia</w:t>
      </w:r>
      <w:r w:rsidR="00AF5377" w:rsidRPr="009D2241">
        <w:rPr>
          <w:rFonts w:ascii="Arial" w:hAnsi="Arial" w:cs="Arial"/>
          <w:sz w:val="24"/>
          <w:szCs w:val="24"/>
          <w:lang w:val="es-PR"/>
        </w:rPr>
        <w:t xml:space="preserve"> con la línea de crédito y otros recursos (asignaciones provenientes de los fondos ARRA) que ya no están disponibles</w:t>
      </w:r>
      <w:r w:rsidR="00FB4235" w:rsidRPr="009D2241">
        <w:rPr>
          <w:rFonts w:ascii="Arial" w:hAnsi="Arial" w:cs="Arial"/>
          <w:sz w:val="24"/>
          <w:szCs w:val="24"/>
          <w:lang w:val="es-PR"/>
        </w:rPr>
        <w:t xml:space="preserve">. </w:t>
      </w:r>
    </w:p>
    <w:p w:rsidR="006229C3" w:rsidRPr="004D6436" w:rsidRDefault="006229C3" w:rsidP="000B7074">
      <w:pPr>
        <w:pStyle w:val="ListParagraph"/>
        <w:spacing w:line="240" w:lineRule="auto"/>
        <w:jc w:val="both"/>
        <w:rPr>
          <w:rFonts w:ascii="Arial" w:hAnsi="Arial" w:cs="Arial"/>
          <w:sz w:val="24"/>
          <w:szCs w:val="24"/>
          <w:lang w:val="es-PR"/>
        </w:rPr>
      </w:pPr>
    </w:p>
    <w:p w:rsidR="00AC0C17" w:rsidRPr="004D6436" w:rsidRDefault="00AC0C17" w:rsidP="000B7074">
      <w:pPr>
        <w:pStyle w:val="ListParagraph"/>
        <w:numPr>
          <w:ilvl w:val="0"/>
          <w:numId w:val="9"/>
        </w:numPr>
        <w:spacing w:line="360" w:lineRule="auto"/>
        <w:jc w:val="both"/>
        <w:rPr>
          <w:rFonts w:ascii="Arial" w:hAnsi="Arial" w:cs="Arial"/>
          <w:b/>
          <w:i/>
          <w:sz w:val="24"/>
          <w:szCs w:val="24"/>
          <w:lang w:val="es-PR"/>
        </w:rPr>
      </w:pPr>
      <w:r w:rsidRPr="004D6436">
        <w:rPr>
          <w:rFonts w:ascii="Arial" w:hAnsi="Arial" w:cs="Arial"/>
          <w:b/>
          <w:i/>
          <w:sz w:val="24"/>
          <w:szCs w:val="24"/>
          <w:lang w:val="es-PR"/>
        </w:rPr>
        <w:t>Ingresos Propios</w:t>
      </w:r>
    </w:p>
    <w:p w:rsidR="00AC0C17" w:rsidRPr="004D6436" w:rsidRDefault="00AC0C17" w:rsidP="000B7074">
      <w:pPr>
        <w:pStyle w:val="ListParagraph"/>
        <w:spacing w:line="240" w:lineRule="auto"/>
        <w:ind w:left="360"/>
        <w:jc w:val="both"/>
        <w:rPr>
          <w:rFonts w:ascii="Arial" w:hAnsi="Arial" w:cs="Arial"/>
          <w:sz w:val="24"/>
          <w:szCs w:val="24"/>
          <w:lang w:val="es-ES_tradnl"/>
        </w:rPr>
      </w:pPr>
      <w:r w:rsidRPr="004D6436">
        <w:rPr>
          <w:rFonts w:ascii="Arial" w:hAnsi="Arial" w:cs="Arial"/>
          <w:sz w:val="24"/>
          <w:szCs w:val="24"/>
          <w:lang w:val="es-ES_tradnl"/>
        </w:rPr>
        <w:t>La Ley de APP dispone en su Artículo 6(viii) que la Autoridad podrá imponer cargos por los servicios que presta como parte de los procesos que lleva a cabo para establecer Alianzas. La Ley Núm. 237 del 2014 (“Ley 237”) aclaró este particular disponiendo que dichos cargos por servicios “se establecerán: (a) a base de un por ci</w:t>
      </w:r>
      <w:r w:rsidR="004D6436">
        <w:rPr>
          <w:rFonts w:ascii="Arial" w:hAnsi="Arial" w:cs="Arial"/>
          <w:sz w:val="24"/>
          <w:szCs w:val="24"/>
          <w:lang w:val="es-ES_tradnl"/>
        </w:rPr>
        <w:t>ento que podrá fluctuar entre 0.5%</w:t>
      </w:r>
      <w:r w:rsidRPr="004D6436">
        <w:rPr>
          <w:rFonts w:ascii="Arial" w:hAnsi="Arial" w:cs="Arial"/>
          <w:sz w:val="24"/>
          <w:szCs w:val="24"/>
          <w:lang w:val="es-ES_tradnl"/>
        </w:rPr>
        <w:t xml:space="preserve"> y </w:t>
      </w:r>
      <w:r w:rsidR="004D6436">
        <w:rPr>
          <w:rFonts w:ascii="Arial" w:hAnsi="Arial" w:cs="Arial"/>
          <w:sz w:val="24"/>
          <w:szCs w:val="24"/>
          <w:lang w:val="es-ES_tradnl"/>
        </w:rPr>
        <w:t>3%</w:t>
      </w:r>
      <w:r w:rsidRPr="004D6436">
        <w:rPr>
          <w:rFonts w:ascii="Arial" w:hAnsi="Arial" w:cs="Arial"/>
          <w:sz w:val="24"/>
          <w:szCs w:val="24"/>
          <w:lang w:val="es-ES_tradnl"/>
        </w:rPr>
        <w:t xml:space="preserve"> del costo total agregado estimado del proyecto; o (b) a base del reembolso de gastos incurridos por la Autoridad en </w:t>
      </w:r>
      <w:r w:rsidRPr="004D6436">
        <w:rPr>
          <w:rFonts w:ascii="Arial" w:hAnsi="Arial" w:cs="Arial"/>
          <w:sz w:val="24"/>
          <w:szCs w:val="24"/>
          <w:lang w:val="es-ES_tradnl"/>
        </w:rPr>
        <w:lastRenderedPageBreak/>
        <w:t xml:space="preserve">el Proyecto, incluidos los costos incurridos en consultores y los costos administrativos directos imputados al proyecto, más un cargo porcentual fijo entre un </w:t>
      </w:r>
      <w:r w:rsidR="004D6436">
        <w:rPr>
          <w:rFonts w:ascii="Arial" w:hAnsi="Arial" w:cs="Arial"/>
          <w:sz w:val="24"/>
          <w:szCs w:val="24"/>
          <w:lang w:val="es-ES_tradnl"/>
        </w:rPr>
        <w:t>5% y un 15%</w:t>
      </w:r>
      <w:r w:rsidRPr="004D6436">
        <w:rPr>
          <w:rFonts w:ascii="Arial" w:hAnsi="Arial" w:cs="Arial"/>
          <w:sz w:val="24"/>
          <w:szCs w:val="24"/>
          <w:lang w:val="es-ES_tradnl"/>
        </w:rPr>
        <w:t xml:space="preserve"> sobre los costos incurridos en consultores para el proyecto a establecerse dependiendo de la complejidad del proyecto…”</w:t>
      </w:r>
    </w:p>
    <w:p w:rsidR="00AC0C17" w:rsidRPr="004D6436" w:rsidRDefault="00AC0C17" w:rsidP="000B7074">
      <w:pPr>
        <w:pStyle w:val="ListParagraph"/>
        <w:spacing w:line="240" w:lineRule="auto"/>
        <w:jc w:val="both"/>
        <w:rPr>
          <w:rFonts w:ascii="Arial" w:hAnsi="Arial" w:cs="Arial"/>
          <w:sz w:val="24"/>
          <w:szCs w:val="24"/>
          <w:lang w:val="es-ES_tradnl"/>
        </w:rPr>
      </w:pPr>
    </w:p>
    <w:p w:rsidR="00AC0C17" w:rsidRPr="004D6436" w:rsidRDefault="00AC0C17" w:rsidP="000B7074">
      <w:pPr>
        <w:pStyle w:val="ListParagraph"/>
        <w:spacing w:line="240" w:lineRule="auto"/>
        <w:ind w:left="360"/>
        <w:jc w:val="both"/>
        <w:rPr>
          <w:rFonts w:ascii="Arial" w:hAnsi="Arial" w:cs="Arial"/>
          <w:sz w:val="24"/>
          <w:szCs w:val="24"/>
          <w:lang w:val="es-ES_tradnl"/>
        </w:rPr>
      </w:pPr>
      <w:r w:rsidRPr="004D6436">
        <w:rPr>
          <w:rFonts w:ascii="Arial" w:hAnsi="Arial" w:cs="Arial"/>
          <w:sz w:val="24"/>
          <w:szCs w:val="24"/>
          <w:lang w:val="es-ES_tradnl"/>
        </w:rPr>
        <w:t xml:space="preserve">En el Año Fiscal 2015-2016, la Autoridad generó $257,840 correspondientes a los cargos por servicios cobrados a la Autoridad de Carreteras y Transportación por la asistencia técnica ofrecida en la transacción que culminó con la enmienda al </w:t>
      </w:r>
      <w:r w:rsidR="00AF5377">
        <w:rPr>
          <w:rFonts w:ascii="Arial" w:hAnsi="Arial" w:cs="Arial"/>
          <w:sz w:val="24"/>
          <w:szCs w:val="24"/>
          <w:lang w:val="es-ES_tradnl"/>
        </w:rPr>
        <w:t>C</w:t>
      </w:r>
      <w:r w:rsidRPr="004D6436">
        <w:rPr>
          <w:rFonts w:ascii="Arial" w:hAnsi="Arial" w:cs="Arial"/>
          <w:sz w:val="24"/>
          <w:szCs w:val="24"/>
          <w:lang w:val="es-ES_tradnl"/>
        </w:rPr>
        <w:t xml:space="preserve">ontrato de </w:t>
      </w:r>
      <w:r w:rsidR="00AF5377">
        <w:rPr>
          <w:rFonts w:ascii="Arial" w:hAnsi="Arial" w:cs="Arial"/>
          <w:sz w:val="24"/>
          <w:szCs w:val="24"/>
          <w:lang w:val="es-ES_tradnl"/>
        </w:rPr>
        <w:t>C</w:t>
      </w:r>
      <w:r w:rsidRPr="004D6436">
        <w:rPr>
          <w:rFonts w:ascii="Arial" w:hAnsi="Arial" w:cs="Arial"/>
          <w:sz w:val="24"/>
          <w:szCs w:val="24"/>
          <w:lang w:val="es-ES_tradnl"/>
        </w:rPr>
        <w:t>oncesión</w:t>
      </w:r>
      <w:r w:rsidR="00035EAB">
        <w:rPr>
          <w:rFonts w:ascii="Arial" w:hAnsi="Arial" w:cs="Arial"/>
          <w:sz w:val="24"/>
          <w:szCs w:val="24"/>
          <w:lang w:val="es-ES_tradnl"/>
        </w:rPr>
        <w:t xml:space="preserve"> </w:t>
      </w:r>
      <w:r w:rsidR="00AF5377">
        <w:rPr>
          <w:rFonts w:ascii="Arial" w:hAnsi="Arial" w:cs="Arial"/>
          <w:sz w:val="24"/>
          <w:szCs w:val="24"/>
          <w:lang w:val="es-ES_tradnl"/>
        </w:rPr>
        <w:t>de</w:t>
      </w:r>
      <w:r w:rsidRPr="004D6436">
        <w:rPr>
          <w:rFonts w:ascii="Arial" w:hAnsi="Arial" w:cs="Arial"/>
          <w:sz w:val="24"/>
          <w:szCs w:val="24"/>
          <w:lang w:val="es-ES_tradnl"/>
        </w:rPr>
        <w:t xml:space="preserve"> las autopistas PR-22 y PR-5. </w:t>
      </w:r>
      <w:r w:rsidR="00A45227" w:rsidRPr="004D6436">
        <w:rPr>
          <w:rFonts w:ascii="Arial" w:hAnsi="Arial" w:cs="Arial"/>
          <w:sz w:val="24"/>
          <w:szCs w:val="24"/>
          <w:lang w:val="es-ES_tradnl"/>
        </w:rPr>
        <w:t>En comparación con otros años, los ingresos de la Autoridad durante los pasados años han sido</w:t>
      </w:r>
      <w:r w:rsidR="00B3738A">
        <w:rPr>
          <w:rFonts w:ascii="Arial" w:hAnsi="Arial" w:cs="Arial"/>
          <w:sz w:val="24"/>
          <w:szCs w:val="24"/>
          <w:lang w:val="es-ES_tradnl"/>
        </w:rPr>
        <w:t xml:space="preserve"> menores dado a </w:t>
      </w:r>
      <w:r w:rsidRPr="004D6436">
        <w:rPr>
          <w:rFonts w:ascii="Arial" w:hAnsi="Arial" w:cs="Arial"/>
          <w:sz w:val="24"/>
          <w:szCs w:val="24"/>
          <w:lang w:val="es-ES_tradnl"/>
        </w:rPr>
        <w:t>que tanto en el 2011 como en el 2013, la Autoridad cerró dos proyectos de monetización o de concesión administrativa que incluyeron pagos por adelantado de cantidades significativas</w:t>
      </w:r>
      <w:r w:rsidR="00AF5377">
        <w:rPr>
          <w:rFonts w:ascii="Arial" w:hAnsi="Arial" w:cs="Arial"/>
          <w:sz w:val="24"/>
          <w:szCs w:val="24"/>
          <w:lang w:val="es-ES_tradnl"/>
        </w:rPr>
        <w:t xml:space="preserve">: </w:t>
      </w:r>
      <w:r w:rsidRPr="004D6436">
        <w:rPr>
          <w:rFonts w:ascii="Arial" w:hAnsi="Arial" w:cs="Arial"/>
          <w:sz w:val="24"/>
          <w:szCs w:val="24"/>
          <w:lang w:val="es-ES_tradnl"/>
        </w:rPr>
        <w:t>la concesión de las Autopistas PR-22 y PR-5 y la concesión del Aeropuerto Internacional Luis Muñoz Marín. Tras el cierre de estas dos transacciones, la Autoridad ha enfocado sus esfuerzos en el desarrollo de proyectos prioritarios de nueva infraestructura pública (particularmente, en el área de trasportación y generación de energía) y en la concesión de servicios públicos existentes (subsidiados por el Gobierno Central), que por años han sido deficientes. Ello, con el objetivo de crear nuevos empleos</w:t>
      </w:r>
      <w:r w:rsidR="00F1385E">
        <w:rPr>
          <w:rFonts w:ascii="Arial" w:hAnsi="Arial" w:cs="Arial"/>
          <w:sz w:val="24"/>
          <w:szCs w:val="24"/>
          <w:lang w:val="es-ES_tradnl"/>
        </w:rPr>
        <w:t xml:space="preserve"> y mejorar la provisión de servicios públicos, </w:t>
      </w:r>
      <w:r w:rsidR="00F1385E" w:rsidRPr="004D6436">
        <w:rPr>
          <w:rFonts w:ascii="Arial" w:hAnsi="Arial" w:cs="Arial"/>
          <w:sz w:val="24"/>
          <w:szCs w:val="24"/>
          <w:lang w:val="es-ES_tradnl"/>
        </w:rPr>
        <w:t>aprovecha</w:t>
      </w:r>
      <w:r w:rsidR="00F1385E">
        <w:rPr>
          <w:rFonts w:ascii="Arial" w:hAnsi="Arial" w:cs="Arial"/>
          <w:sz w:val="24"/>
          <w:szCs w:val="24"/>
          <w:lang w:val="es-ES_tradnl"/>
        </w:rPr>
        <w:t>ndo</w:t>
      </w:r>
      <w:r w:rsidR="00F1385E" w:rsidRPr="004D6436">
        <w:rPr>
          <w:rFonts w:ascii="Arial" w:hAnsi="Arial" w:cs="Arial"/>
          <w:sz w:val="24"/>
          <w:szCs w:val="24"/>
          <w:lang w:val="es-ES_tradnl"/>
        </w:rPr>
        <w:t xml:space="preserve"> </w:t>
      </w:r>
      <w:r w:rsidRPr="004D6436">
        <w:rPr>
          <w:rFonts w:ascii="Arial" w:hAnsi="Arial" w:cs="Arial"/>
          <w:sz w:val="24"/>
          <w:szCs w:val="24"/>
          <w:lang w:val="es-ES_tradnl"/>
        </w:rPr>
        <w:t>la pericia</w:t>
      </w:r>
      <w:r w:rsidR="00F1385E">
        <w:rPr>
          <w:rFonts w:ascii="Arial" w:hAnsi="Arial" w:cs="Arial"/>
          <w:sz w:val="24"/>
          <w:szCs w:val="24"/>
          <w:lang w:val="es-ES_tradnl"/>
        </w:rPr>
        <w:t xml:space="preserve"> y experiencia </w:t>
      </w:r>
      <w:r w:rsidRPr="004D6436">
        <w:rPr>
          <w:rFonts w:ascii="Arial" w:hAnsi="Arial" w:cs="Arial"/>
          <w:sz w:val="24"/>
          <w:szCs w:val="24"/>
          <w:lang w:val="es-ES_tradnl"/>
        </w:rPr>
        <w:t xml:space="preserve"> del sector privado para introducir eficiencias operacionales y, en la medida posible, reducir o fijar el subsidio público del que dependen muchos de estos servicios, en momentos durante los cuales </w:t>
      </w:r>
      <w:r w:rsidRPr="004D6436">
        <w:rPr>
          <w:rFonts w:ascii="Arial" w:hAnsi="Arial" w:cs="Arial"/>
          <w:sz w:val="24"/>
          <w:szCs w:val="24"/>
          <w:lang w:val="es-ES_tradnl"/>
        </w:rPr>
        <w:lastRenderedPageBreak/>
        <w:t>el país atraviesa por una situación fiscal precaria que atenta con la continuidad en la provisión de servicios esenciales.</w:t>
      </w:r>
    </w:p>
    <w:p w:rsidR="00AC0C17" w:rsidRPr="004D6436" w:rsidRDefault="00AC0C17" w:rsidP="000B7074">
      <w:pPr>
        <w:pStyle w:val="ListParagraph"/>
        <w:spacing w:line="240" w:lineRule="auto"/>
        <w:jc w:val="both"/>
        <w:rPr>
          <w:rFonts w:ascii="Arial" w:hAnsi="Arial" w:cs="Arial"/>
          <w:sz w:val="24"/>
          <w:szCs w:val="24"/>
          <w:lang w:val="es-ES_tradnl"/>
        </w:rPr>
      </w:pPr>
    </w:p>
    <w:p w:rsidR="00AC0C17" w:rsidRPr="004D6436" w:rsidRDefault="00AC0C17" w:rsidP="000B7074">
      <w:pPr>
        <w:pStyle w:val="ListParagraph"/>
        <w:numPr>
          <w:ilvl w:val="0"/>
          <w:numId w:val="9"/>
        </w:numPr>
        <w:spacing w:line="360" w:lineRule="auto"/>
        <w:jc w:val="both"/>
        <w:rPr>
          <w:rFonts w:ascii="Arial" w:hAnsi="Arial" w:cs="Arial"/>
          <w:b/>
          <w:i/>
          <w:sz w:val="24"/>
          <w:szCs w:val="24"/>
          <w:lang w:val="es-PR"/>
        </w:rPr>
      </w:pPr>
      <w:r w:rsidRPr="004D6436">
        <w:rPr>
          <w:rFonts w:ascii="Arial" w:hAnsi="Arial" w:cs="Arial"/>
          <w:b/>
          <w:i/>
          <w:sz w:val="24"/>
          <w:szCs w:val="24"/>
          <w:lang w:val="es-PR"/>
        </w:rPr>
        <w:t xml:space="preserve">Cuentas por Cobrar  </w:t>
      </w:r>
    </w:p>
    <w:p w:rsidR="00945EE6" w:rsidRPr="004D6436" w:rsidRDefault="00945EE6" w:rsidP="000B7074">
      <w:pPr>
        <w:pStyle w:val="ListParagraph"/>
        <w:spacing w:line="240" w:lineRule="auto"/>
        <w:ind w:left="360"/>
        <w:jc w:val="both"/>
        <w:rPr>
          <w:rFonts w:ascii="Arial" w:hAnsi="Arial" w:cs="Arial"/>
          <w:sz w:val="24"/>
          <w:szCs w:val="24"/>
          <w:lang w:val="es-PR"/>
        </w:rPr>
      </w:pPr>
      <w:r w:rsidRPr="004D6436">
        <w:rPr>
          <w:rFonts w:ascii="Arial" w:hAnsi="Arial" w:cs="Arial"/>
          <w:sz w:val="24"/>
          <w:szCs w:val="24"/>
          <w:lang w:val="es-PR"/>
        </w:rPr>
        <w:t xml:space="preserve">La </w:t>
      </w:r>
      <w:r w:rsidR="00F1385E">
        <w:rPr>
          <w:rFonts w:ascii="Arial" w:hAnsi="Arial" w:cs="Arial"/>
          <w:sz w:val="24"/>
          <w:szCs w:val="24"/>
          <w:lang w:val="es-PR"/>
        </w:rPr>
        <w:t>Tabla 3 del Anejo A</w:t>
      </w:r>
      <w:r w:rsidRPr="004D6436">
        <w:rPr>
          <w:rFonts w:ascii="Arial" w:hAnsi="Arial" w:cs="Arial"/>
          <w:sz w:val="24"/>
          <w:szCs w:val="24"/>
          <w:lang w:val="es-PR"/>
        </w:rPr>
        <w:t xml:space="preserve"> resume las cuentas por cobrar de la Autoridad. Dichas cuentas incluyen los gastos incurridos por la Autoridad en la contratación de consultores financieros, técnicos y legales necesarios para el análisis y establecimiento de cada proyecto prioritario como Alianza. También incluye el por ciento estipulado mediante acuerdos interagenciales con las Entidades Gubernamentales Participantes para el cargo por los servicios prestados. Nótese, que según los acuerdos suscritos con las Entidades Gubernamentales Participantes, la Autoridad no recibe el reembolso de los gastos incurridos, ni cobra por sus servicios</w:t>
      </w:r>
      <w:r w:rsidR="000E3524">
        <w:rPr>
          <w:rFonts w:ascii="Arial" w:hAnsi="Arial" w:cs="Arial"/>
          <w:sz w:val="24"/>
          <w:szCs w:val="24"/>
          <w:lang w:val="es-PR"/>
        </w:rPr>
        <w:t>,</w:t>
      </w:r>
      <w:r w:rsidRPr="004D6436">
        <w:rPr>
          <w:rFonts w:ascii="Arial" w:hAnsi="Arial" w:cs="Arial"/>
          <w:sz w:val="24"/>
          <w:szCs w:val="24"/>
          <w:lang w:val="es-PR"/>
        </w:rPr>
        <w:t xml:space="preserve"> hasta tanto no cierre el proyecto o se cancele. A la fecha, todos los proyectos identificados en la tabla continúan su proceso, excepto el proyecto de Instituciones Correccionales que fue cancelado por la Junta de Directores el 18 de junio de 2015, debido a que el Departamento de Corrección y Rehabilitación no pudo identificar fuentes de financiamiento para el repago del proyecto y su Secretario desistió de continuar con el </w:t>
      </w:r>
      <w:r w:rsidR="00F1385E">
        <w:rPr>
          <w:rFonts w:ascii="Arial" w:hAnsi="Arial" w:cs="Arial"/>
          <w:sz w:val="24"/>
          <w:szCs w:val="24"/>
          <w:lang w:val="es-PR"/>
        </w:rPr>
        <w:t>proyecto</w:t>
      </w:r>
      <w:r w:rsidRPr="004D6436">
        <w:rPr>
          <w:rFonts w:ascii="Arial" w:hAnsi="Arial" w:cs="Arial"/>
          <w:sz w:val="24"/>
          <w:szCs w:val="24"/>
          <w:lang w:val="es-PR"/>
        </w:rPr>
        <w:t xml:space="preserve">. </w:t>
      </w:r>
      <w:r w:rsidR="0089302B">
        <w:rPr>
          <w:rFonts w:ascii="Arial" w:hAnsi="Arial" w:cs="Arial"/>
          <w:sz w:val="24"/>
          <w:szCs w:val="24"/>
          <w:lang w:val="es-PR"/>
        </w:rPr>
        <w:t xml:space="preserve">Véase </w:t>
      </w:r>
      <w:r w:rsidR="0089302B" w:rsidRPr="000B7074">
        <w:rPr>
          <w:rFonts w:ascii="Arial" w:hAnsi="Arial" w:cs="Arial"/>
          <w:b/>
          <w:sz w:val="24"/>
          <w:szCs w:val="24"/>
          <w:lang w:val="es-PR"/>
        </w:rPr>
        <w:t>Tabla 3</w:t>
      </w:r>
      <w:r w:rsidR="0089302B">
        <w:rPr>
          <w:rFonts w:ascii="Arial" w:hAnsi="Arial" w:cs="Arial"/>
          <w:sz w:val="24"/>
          <w:szCs w:val="24"/>
          <w:lang w:val="es-PR"/>
        </w:rPr>
        <w:t xml:space="preserve"> del </w:t>
      </w:r>
      <w:r w:rsidR="0089302B" w:rsidRPr="000B7074">
        <w:rPr>
          <w:rFonts w:ascii="Arial" w:hAnsi="Arial" w:cs="Arial"/>
          <w:b/>
          <w:sz w:val="24"/>
          <w:szCs w:val="24"/>
          <w:lang w:val="es-PR"/>
        </w:rPr>
        <w:t>Anejo A</w:t>
      </w:r>
      <w:r w:rsidR="0089302B">
        <w:rPr>
          <w:rFonts w:ascii="Arial" w:hAnsi="Arial" w:cs="Arial"/>
          <w:sz w:val="24"/>
          <w:szCs w:val="24"/>
          <w:lang w:val="es-PR"/>
        </w:rPr>
        <w:t>.</w:t>
      </w:r>
    </w:p>
    <w:p w:rsidR="00945EE6" w:rsidRPr="004D6436" w:rsidRDefault="00945EE6" w:rsidP="000B7074">
      <w:pPr>
        <w:pStyle w:val="ListParagraph"/>
        <w:spacing w:line="240" w:lineRule="auto"/>
        <w:jc w:val="both"/>
        <w:rPr>
          <w:rFonts w:ascii="Arial" w:hAnsi="Arial" w:cs="Arial"/>
          <w:sz w:val="24"/>
          <w:szCs w:val="24"/>
          <w:lang w:val="es-PR"/>
        </w:rPr>
      </w:pPr>
    </w:p>
    <w:p w:rsidR="00D2246E" w:rsidRPr="004D6436" w:rsidRDefault="00AC0C17" w:rsidP="000B7074">
      <w:pPr>
        <w:pStyle w:val="ListParagraph"/>
        <w:numPr>
          <w:ilvl w:val="0"/>
          <w:numId w:val="9"/>
        </w:numPr>
        <w:spacing w:line="240" w:lineRule="auto"/>
        <w:jc w:val="both"/>
        <w:rPr>
          <w:rFonts w:ascii="Arial" w:hAnsi="Arial" w:cs="Arial"/>
          <w:b/>
          <w:i/>
          <w:sz w:val="24"/>
          <w:szCs w:val="24"/>
          <w:lang w:val="es-PR"/>
        </w:rPr>
      </w:pPr>
      <w:r w:rsidRPr="004D6436">
        <w:rPr>
          <w:rFonts w:ascii="Arial" w:hAnsi="Arial" w:cs="Arial"/>
          <w:b/>
          <w:i/>
          <w:sz w:val="24"/>
          <w:szCs w:val="24"/>
          <w:lang w:val="es-PR"/>
        </w:rPr>
        <w:t>Deudas</w:t>
      </w:r>
    </w:p>
    <w:p w:rsidR="00F1385E" w:rsidRDefault="0089302B" w:rsidP="000B7074">
      <w:pPr>
        <w:spacing w:line="240" w:lineRule="auto"/>
        <w:ind w:left="360"/>
        <w:jc w:val="both"/>
        <w:rPr>
          <w:rFonts w:ascii="Arial" w:hAnsi="Arial" w:cs="Arial"/>
          <w:sz w:val="24"/>
          <w:szCs w:val="24"/>
          <w:lang w:val="es-PR"/>
        </w:rPr>
      </w:pPr>
      <w:r w:rsidRPr="000B7074">
        <w:rPr>
          <w:rFonts w:ascii="Arial" w:hAnsi="Arial" w:cs="Arial"/>
          <w:sz w:val="24"/>
          <w:szCs w:val="24"/>
          <w:lang w:val="es-PR"/>
        </w:rPr>
        <w:t>La deuda principal de la Autoridad es a la línea de crédito que tenía con el BGF hasta el 31 de enero de 2016. El balance adeudado al 31 de agosto de 2016 es de $6</w:t>
      </w:r>
      <w:r w:rsidRPr="0089302B">
        <w:rPr>
          <w:rFonts w:ascii="Arial" w:hAnsi="Arial" w:cs="Arial"/>
          <w:sz w:val="24"/>
          <w:szCs w:val="24"/>
          <w:lang w:val="es-PR"/>
        </w:rPr>
        <w:t xml:space="preserve">,558,926. De los </w:t>
      </w:r>
      <w:r w:rsidRPr="0089302B">
        <w:rPr>
          <w:rFonts w:ascii="Arial" w:hAnsi="Arial" w:cs="Arial"/>
          <w:sz w:val="24"/>
          <w:szCs w:val="24"/>
          <w:lang w:val="es-PR"/>
        </w:rPr>
        <w:lastRenderedPageBreak/>
        <w:t xml:space="preserve">fondos de la línea, la Autoridad ha incurrido en deudas que dimanan de </w:t>
      </w:r>
      <w:r w:rsidR="00F1385E">
        <w:rPr>
          <w:rFonts w:ascii="Arial" w:hAnsi="Arial" w:cs="Arial"/>
          <w:sz w:val="24"/>
          <w:szCs w:val="24"/>
          <w:lang w:val="es-PR"/>
        </w:rPr>
        <w:t>sus</w:t>
      </w:r>
      <w:r w:rsidR="00F1385E" w:rsidRPr="0089302B">
        <w:rPr>
          <w:rFonts w:ascii="Arial" w:hAnsi="Arial" w:cs="Arial"/>
          <w:sz w:val="24"/>
          <w:szCs w:val="24"/>
          <w:lang w:val="es-PR"/>
        </w:rPr>
        <w:t xml:space="preserve"> </w:t>
      </w:r>
      <w:r w:rsidRPr="0089302B">
        <w:rPr>
          <w:rFonts w:ascii="Arial" w:hAnsi="Arial" w:cs="Arial"/>
          <w:sz w:val="24"/>
          <w:szCs w:val="24"/>
          <w:lang w:val="es-PR"/>
        </w:rPr>
        <w:t xml:space="preserve">gastos operacionales y </w:t>
      </w:r>
      <w:r w:rsidR="00F1385E">
        <w:rPr>
          <w:rFonts w:ascii="Arial" w:hAnsi="Arial" w:cs="Arial"/>
          <w:sz w:val="24"/>
          <w:szCs w:val="24"/>
          <w:lang w:val="es-PR"/>
        </w:rPr>
        <w:t xml:space="preserve">de </w:t>
      </w:r>
      <w:r w:rsidRPr="0089302B">
        <w:rPr>
          <w:rFonts w:ascii="Arial" w:hAnsi="Arial" w:cs="Arial"/>
          <w:sz w:val="24"/>
          <w:szCs w:val="24"/>
          <w:lang w:val="es-PR"/>
        </w:rPr>
        <w:t>los contratos de servicios consultivos</w:t>
      </w:r>
      <w:r w:rsidR="00F1385E">
        <w:rPr>
          <w:rFonts w:ascii="Arial" w:hAnsi="Arial" w:cs="Arial"/>
          <w:sz w:val="24"/>
          <w:szCs w:val="24"/>
          <w:lang w:val="es-PR"/>
        </w:rPr>
        <w:t xml:space="preserve"> contratados</w:t>
      </w:r>
      <w:r w:rsidRPr="0089302B">
        <w:rPr>
          <w:rFonts w:ascii="Arial" w:hAnsi="Arial" w:cs="Arial"/>
          <w:sz w:val="24"/>
          <w:szCs w:val="24"/>
          <w:lang w:val="es-PR"/>
        </w:rPr>
        <w:t xml:space="preserve"> para </w:t>
      </w:r>
      <w:r w:rsidR="00F1385E">
        <w:rPr>
          <w:rFonts w:ascii="Arial" w:hAnsi="Arial" w:cs="Arial"/>
          <w:sz w:val="24"/>
          <w:szCs w:val="24"/>
          <w:lang w:val="es-PR"/>
        </w:rPr>
        <w:t xml:space="preserve">el desarrollo de </w:t>
      </w:r>
      <w:r w:rsidRPr="0089302B">
        <w:rPr>
          <w:rFonts w:ascii="Arial" w:hAnsi="Arial" w:cs="Arial"/>
          <w:sz w:val="24"/>
          <w:szCs w:val="24"/>
          <w:lang w:val="es-PR"/>
        </w:rPr>
        <w:t xml:space="preserve">proyectos de Alianzas (incluidos en las partidas de los contratos otorgados y los vigentes). </w:t>
      </w:r>
    </w:p>
    <w:p w:rsidR="00230E0A" w:rsidRDefault="0089302B" w:rsidP="00035EAB">
      <w:pPr>
        <w:spacing w:line="240" w:lineRule="auto"/>
        <w:ind w:left="360"/>
        <w:jc w:val="both"/>
        <w:rPr>
          <w:rFonts w:ascii="Arial" w:hAnsi="Arial" w:cs="Arial"/>
          <w:sz w:val="24"/>
          <w:szCs w:val="24"/>
          <w:lang w:val="es-PR"/>
        </w:rPr>
      </w:pPr>
      <w:r w:rsidRPr="0089302B">
        <w:rPr>
          <w:rFonts w:ascii="Arial" w:hAnsi="Arial" w:cs="Arial"/>
          <w:sz w:val="24"/>
          <w:szCs w:val="24"/>
          <w:lang w:val="es-PR"/>
        </w:rPr>
        <w:t>Al 31 de agosto de 2016, el total en cuentas por pagar corrientes ascendió a $389,076, de los cuales un total de $26,996 corresponden a gastos administrativos y el resto, a deudas con consultores por servicios profesionales relacionados con los proyectos de Alianza.</w:t>
      </w:r>
    </w:p>
    <w:p w:rsidR="0095326E" w:rsidRPr="009D2241" w:rsidRDefault="00035EAB" w:rsidP="009D2241">
      <w:pPr>
        <w:pStyle w:val="ListParagraph"/>
        <w:numPr>
          <w:ilvl w:val="0"/>
          <w:numId w:val="4"/>
        </w:numPr>
        <w:spacing w:line="360" w:lineRule="auto"/>
        <w:ind w:left="720"/>
        <w:jc w:val="both"/>
        <w:rPr>
          <w:rFonts w:ascii="Arial" w:hAnsi="Arial" w:cs="Arial"/>
          <w:b/>
          <w:sz w:val="24"/>
          <w:szCs w:val="24"/>
          <w:lang w:val="es-ES"/>
        </w:rPr>
      </w:pPr>
      <w:r w:rsidRPr="009D2241">
        <w:rPr>
          <w:rFonts w:ascii="Arial" w:hAnsi="Arial" w:cs="Arial"/>
          <w:b/>
          <w:sz w:val="24"/>
          <w:szCs w:val="24"/>
          <w:lang w:val="es-ES"/>
        </w:rPr>
        <w:t xml:space="preserve">CONCLUSIÓN </w:t>
      </w:r>
    </w:p>
    <w:p w:rsidR="0095326E" w:rsidRDefault="0095326E" w:rsidP="004D6436">
      <w:pPr>
        <w:jc w:val="both"/>
        <w:rPr>
          <w:rFonts w:ascii="Arial" w:hAnsi="Arial" w:cs="Arial"/>
          <w:sz w:val="24"/>
          <w:szCs w:val="24"/>
          <w:lang w:val="es-PR"/>
        </w:rPr>
        <w:sectPr w:rsidR="0095326E" w:rsidSect="00A1544C">
          <w:headerReference w:type="default" r:id="rId8"/>
          <w:headerReference w:type="first" r:id="rId9"/>
          <w:pgSz w:w="12240" w:h="15840"/>
          <w:pgMar w:top="1008" w:right="1008" w:bottom="1008" w:left="1008" w:header="720" w:footer="720" w:gutter="0"/>
          <w:cols w:space="720"/>
          <w:titlePg/>
          <w:docGrid w:linePitch="360"/>
        </w:sectPr>
      </w:pPr>
      <w:r>
        <w:rPr>
          <w:rFonts w:ascii="Arial" w:hAnsi="Arial" w:cs="Arial"/>
          <w:sz w:val="24"/>
          <w:szCs w:val="24"/>
          <w:lang w:val="es-PR"/>
        </w:rPr>
        <w:t xml:space="preserve">Es imprescindible </w:t>
      </w:r>
      <w:r w:rsidR="00DD28E1">
        <w:rPr>
          <w:rFonts w:ascii="Arial" w:hAnsi="Arial" w:cs="Arial"/>
          <w:sz w:val="24"/>
          <w:szCs w:val="24"/>
          <w:lang w:val="es-PR"/>
        </w:rPr>
        <w:t>la educación</w:t>
      </w:r>
      <w:r>
        <w:rPr>
          <w:rFonts w:ascii="Arial" w:hAnsi="Arial" w:cs="Arial"/>
          <w:sz w:val="24"/>
          <w:szCs w:val="24"/>
          <w:lang w:val="es-PR"/>
        </w:rPr>
        <w:t xml:space="preserve"> sobre el modelo de Alianzas para el desarrollo de proyectos. En específico, </w:t>
      </w:r>
      <w:r w:rsidR="00DD28E1">
        <w:rPr>
          <w:rFonts w:ascii="Arial" w:hAnsi="Arial" w:cs="Arial"/>
          <w:sz w:val="24"/>
          <w:szCs w:val="24"/>
          <w:lang w:val="es-PR"/>
        </w:rPr>
        <w:t>que es un método alterno que, inicialmente, es más costos</w:t>
      </w:r>
      <w:r w:rsidR="00035EAB">
        <w:rPr>
          <w:rFonts w:ascii="Arial" w:hAnsi="Arial" w:cs="Arial"/>
          <w:sz w:val="24"/>
          <w:szCs w:val="24"/>
          <w:lang w:val="es-PR"/>
        </w:rPr>
        <w:t>o</w:t>
      </w:r>
      <w:r w:rsidR="00DD28E1">
        <w:rPr>
          <w:rFonts w:ascii="Arial" w:hAnsi="Arial" w:cs="Arial"/>
          <w:sz w:val="24"/>
          <w:szCs w:val="24"/>
          <w:lang w:val="es-PR"/>
        </w:rPr>
        <w:t xml:space="preserve"> que los métodos tradicionales</w:t>
      </w:r>
      <w:r w:rsidR="00035EAB">
        <w:rPr>
          <w:rFonts w:ascii="Arial" w:hAnsi="Arial" w:cs="Arial"/>
          <w:sz w:val="24"/>
          <w:szCs w:val="24"/>
          <w:lang w:val="es-PR"/>
        </w:rPr>
        <w:t>,</w:t>
      </w:r>
      <w:r w:rsidR="00510D97">
        <w:rPr>
          <w:rFonts w:ascii="Arial" w:hAnsi="Arial" w:cs="Arial"/>
          <w:sz w:val="24"/>
          <w:szCs w:val="24"/>
          <w:lang w:val="es-PR"/>
        </w:rPr>
        <w:t xml:space="preserve"> pero cuyos beneficios sobrepasan o equiparan los costos </w:t>
      </w:r>
      <w:r w:rsidR="00035EAB">
        <w:rPr>
          <w:rFonts w:ascii="Arial" w:hAnsi="Arial" w:cs="Arial"/>
          <w:sz w:val="24"/>
          <w:szCs w:val="24"/>
          <w:lang w:val="es-PR"/>
        </w:rPr>
        <w:t xml:space="preserve">de inversión </w:t>
      </w:r>
      <w:r w:rsidR="00510D97">
        <w:rPr>
          <w:rFonts w:ascii="Arial" w:hAnsi="Arial" w:cs="Arial"/>
          <w:sz w:val="24"/>
          <w:szCs w:val="24"/>
          <w:lang w:val="es-PR"/>
        </w:rPr>
        <w:t>porque su uso resulta en mejor valor por el dinero invertido</w:t>
      </w:r>
      <w:r w:rsidR="00127243">
        <w:rPr>
          <w:rFonts w:ascii="Arial" w:hAnsi="Arial" w:cs="Arial"/>
          <w:sz w:val="24"/>
          <w:szCs w:val="24"/>
          <w:lang w:val="es-PR"/>
        </w:rPr>
        <w:t xml:space="preserve">. </w:t>
      </w:r>
      <w:r w:rsidR="00510D97">
        <w:rPr>
          <w:rFonts w:ascii="Arial" w:hAnsi="Arial" w:cs="Arial"/>
          <w:sz w:val="24"/>
          <w:szCs w:val="24"/>
          <w:lang w:val="es-PR"/>
        </w:rPr>
        <w:t>El beneficio de</w:t>
      </w:r>
      <w:r w:rsidR="00127243">
        <w:rPr>
          <w:rFonts w:ascii="Arial" w:hAnsi="Arial" w:cs="Arial"/>
          <w:sz w:val="24"/>
          <w:szCs w:val="24"/>
          <w:lang w:val="es-PR"/>
        </w:rPr>
        <w:t xml:space="preserve"> la Alianza reside</w:t>
      </w:r>
      <w:r w:rsidR="004059A0">
        <w:rPr>
          <w:rFonts w:ascii="Arial" w:hAnsi="Arial" w:cs="Arial"/>
          <w:sz w:val="24"/>
          <w:szCs w:val="24"/>
          <w:lang w:val="es-PR"/>
        </w:rPr>
        <w:t>, entre otras cosas,</w:t>
      </w:r>
      <w:r w:rsidR="00127243">
        <w:rPr>
          <w:rFonts w:ascii="Arial" w:hAnsi="Arial" w:cs="Arial"/>
          <w:sz w:val="24"/>
          <w:szCs w:val="24"/>
          <w:lang w:val="es-PR"/>
        </w:rPr>
        <w:t xml:space="preserve"> en a</w:t>
      </w:r>
      <w:r w:rsidR="004059A0">
        <w:rPr>
          <w:rFonts w:ascii="Arial" w:hAnsi="Arial" w:cs="Arial"/>
          <w:sz w:val="24"/>
          <w:szCs w:val="24"/>
          <w:lang w:val="es-PR"/>
        </w:rPr>
        <w:t>celerar</w:t>
      </w:r>
      <w:r w:rsidR="00127243">
        <w:rPr>
          <w:rFonts w:ascii="Arial" w:hAnsi="Arial" w:cs="Arial"/>
          <w:sz w:val="24"/>
          <w:szCs w:val="24"/>
          <w:lang w:val="es-PR"/>
        </w:rPr>
        <w:t xml:space="preserve"> infraestructura pública mediante la utilización de capital privado, asegurar el mantenimiento del activo a largo plazo, lograr eficiencias e innovación en la construcción, desarrollo o mantenimiento del activo o en la provisión de servicios a la </w:t>
      </w:r>
      <w:r w:rsidR="004059A0">
        <w:rPr>
          <w:rFonts w:ascii="Arial" w:hAnsi="Arial" w:cs="Arial"/>
          <w:sz w:val="24"/>
          <w:szCs w:val="24"/>
          <w:lang w:val="es-PR"/>
        </w:rPr>
        <w:t>ciudadanía</w:t>
      </w:r>
      <w:r w:rsidR="00127243">
        <w:rPr>
          <w:rFonts w:ascii="Arial" w:hAnsi="Arial" w:cs="Arial"/>
          <w:sz w:val="24"/>
          <w:szCs w:val="24"/>
          <w:lang w:val="es-PR"/>
        </w:rPr>
        <w:t xml:space="preserve"> y la creación de nuevas fuentes de actividad económica. Sin embargo, </w:t>
      </w:r>
      <w:r w:rsidR="004059A0">
        <w:rPr>
          <w:rFonts w:ascii="Arial" w:hAnsi="Arial" w:cs="Arial"/>
          <w:sz w:val="24"/>
          <w:szCs w:val="24"/>
          <w:lang w:val="es-PR"/>
        </w:rPr>
        <w:t>el existo de la Alianza muchas veces depende de</w:t>
      </w:r>
      <w:r w:rsidR="00127243">
        <w:rPr>
          <w:rFonts w:ascii="Arial" w:hAnsi="Arial" w:cs="Arial"/>
          <w:sz w:val="24"/>
          <w:szCs w:val="24"/>
          <w:lang w:val="es-PR"/>
        </w:rPr>
        <w:t xml:space="preserve"> que el gobierno identifique y tenga acceso a fuentes claras de repago por los servicios provistos por el privado.</w:t>
      </w:r>
      <w:r w:rsidR="004059A0">
        <w:rPr>
          <w:rFonts w:ascii="Arial" w:hAnsi="Arial" w:cs="Arial"/>
          <w:sz w:val="24"/>
          <w:szCs w:val="24"/>
          <w:lang w:val="es-PR"/>
        </w:rPr>
        <w:t xml:space="preserve"> Algu</w:t>
      </w:r>
      <w:r w:rsidR="004059A0">
        <w:rPr>
          <w:rFonts w:ascii="Arial" w:hAnsi="Arial" w:cs="Arial"/>
          <w:sz w:val="24"/>
          <w:szCs w:val="24"/>
          <w:lang w:val="es-PR"/>
        </w:rPr>
        <w:lastRenderedPageBreak/>
        <w:t xml:space="preserve">nos proyectos o servicios del gobierno pueden resultar inadecuados para ser desarrollados mediante este mecanismo alterno. Por tal razón, es trascendental que a la Autoridad se le provea los recursos necesarios para identificar, evaluar y desarrollar los proyectos </w:t>
      </w:r>
      <w:r w:rsidR="00510D97">
        <w:rPr>
          <w:rFonts w:ascii="Arial" w:hAnsi="Arial" w:cs="Arial"/>
          <w:sz w:val="24"/>
          <w:szCs w:val="24"/>
          <w:lang w:val="es-PR"/>
        </w:rPr>
        <w:t xml:space="preserve">de Alianza que mejor sirvan las necesidades del país. </w:t>
      </w:r>
    </w:p>
    <w:p w:rsidR="00E13AA4" w:rsidRDefault="00E13AA4" w:rsidP="00E13AA4">
      <w:pPr>
        <w:rPr>
          <w:rFonts w:ascii="Arial" w:hAnsi="Arial" w:cs="Arial"/>
          <w:b/>
          <w:lang w:val="es-US"/>
        </w:rPr>
      </w:pPr>
      <w:r>
        <w:rPr>
          <w:rFonts w:ascii="Arial" w:hAnsi="Arial" w:cs="Arial"/>
          <w:b/>
          <w:lang w:val="es-US"/>
        </w:rPr>
        <w:lastRenderedPageBreak/>
        <w:t>ANEJO A</w:t>
      </w:r>
    </w:p>
    <w:p w:rsidR="00E13AA4" w:rsidRPr="000B7074" w:rsidRDefault="00E13AA4">
      <w:pPr>
        <w:rPr>
          <w:rFonts w:ascii="Arial" w:hAnsi="Arial" w:cs="Arial"/>
          <w:b/>
          <w:lang w:val="es-US"/>
        </w:rPr>
      </w:pPr>
      <w:r w:rsidRPr="000B7074">
        <w:rPr>
          <w:rFonts w:ascii="Arial" w:hAnsi="Arial" w:cs="Arial"/>
          <w:b/>
          <w:lang w:val="es-US"/>
        </w:rPr>
        <w:t>T</w:t>
      </w:r>
      <w:r>
        <w:rPr>
          <w:rFonts w:ascii="Arial" w:hAnsi="Arial" w:cs="Arial"/>
          <w:b/>
          <w:lang w:val="es-US"/>
        </w:rPr>
        <w:t>abla</w:t>
      </w:r>
      <w:r w:rsidRPr="000B7074">
        <w:rPr>
          <w:rFonts w:ascii="Arial" w:hAnsi="Arial" w:cs="Arial"/>
          <w:b/>
          <w:lang w:val="es-US"/>
        </w:rPr>
        <w:t xml:space="preserve"> 1</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gridCol w:w="1488"/>
        <w:gridCol w:w="1489"/>
        <w:gridCol w:w="1489"/>
        <w:gridCol w:w="1489"/>
      </w:tblGrid>
      <w:tr w:rsidR="00E13AA4" w:rsidRPr="00035EAB" w:rsidTr="009D2241">
        <w:trPr>
          <w:trHeight w:val="537"/>
          <w:tblHeader/>
        </w:trPr>
        <w:tc>
          <w:tcPr>
            <w:tcW w:w="10075" w:type="dxa"/>
            <w:gridSpan w:val="5"/>
            <w:shd w:val="clear" w:color="auto" w:fill="D9C19B"/>
            <w:vAlign w:val="center"/>
            <w:hideMark/>
          </w:tcPr>
          <w:p w:rsidR="00E13AA4" w:rsidRPr="000B7074" w:rsidRDefault="00E13AA4" w:rsidP="005C4F28">
            <w:pPr>
              <w:spacing w:after="0" w:line="240" w:lineRule="auto"/>
              <w:jc w:val="center"/>
              <w:rPr>
                <w:rFonts w:ascii="Arial" w:eastAsia="Times New Roman" w:hAnsi="Arial" w:cs="Arial"/>
                <w:b/>
                <w:bCs/>
                <w:sz w:val="18"/>
                <w:szCs w:val="18"/>
                <w:lang w:val="es-PR" w:eastAsia="es-PR"/>
              </w:rPr>
            </w:pPr>
            <w:r w:rsidRPr="000B7074">
              <w:rPr>
                <w:rFonts w:ascii="Arial" w:eastAsia="Times New Roman" w:hAnsi="Arial" w:cs="Arial"/>
                <w:b/>
                <w:bCs/>
                <w:sz w:val="18"/>
                <w:szCs w:val="18"/>
                <w:lang w:val="es-PR" w:eastAsia="es-PR"/>
              </w:rPr>
              <w:t>PRESUPUESTO OPERACIONAL 2016 vs. 2017</w:t>
            </w:r>
          </w:p>
        </w:tc>
      </w:tr>
      <w:tr w:rsidR="00B02879" w:rsidRPr="00035EAB" w:rsidTr="009D2241">
        <w:trPr>
          <w:trHeight w:val="288"/>
          <w:tblHeader/>
        </w:trPr>
        <w:tc>
          <w:tcPr>
            <w:tcW w:w="4120" w:type="dxa"/>
            <w:vMerge w:val="restart"/>
            <w:shd w:val="clear" w:color="000000" w:fill="808080"/>
            <w:vAlign w:val="center"/>
            <w:hideMark/>
          </w:tcPr>
          <w:p w:rsidR="00E13AA4" w:rsidRPr="000B7074" w:rsidRDefault="00E13AA4" w:rsidP="005C4F28">
            <w:pPr>
              <w:spacing w:after="0" w:line="276" w:lineRule="auto"/>
              <w:jc w:val="both"/>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Descripción ($ en miles)</w:t>
            </w:r>
          </w:p>
        </w:tc>
        <w:tc>
          <w:tcPr>
            <w:tcW w:w="2977" w:type="dxa"/>
            <w:gridSpan w:val="2"/>
            <w:shd w:val="clear" w:color="000000" w:fill="808080"/>
            <w:vAlign w:val="center"/>
            <w:hideMark/>
          </w:tcPr>
          <w:p w:rsidR="00E13AA4" w:rsidRPr="000B7074" w:rsidRDefault="00E13AA4" w:rsidP="005C4F28">
            <w:pPr>
              <w:spacing w:after="0" w:line="276" w:lineRule="auto"/>
              <w:jc w:val="center"/>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Presupuesto</w:t>
            </w:r>
          </w:p>
        </w:tc>
        <w:tc>
          <w:tcPr>
            <w:tcW w:w="2978" w:type="dxa"/>
            <w:gridSpan w:val="2"/>
            <w:shd w:val="clear" w:color="000000" w:fill="808080"/>
            <w:vAlign w:val="center"/>
            <w:hideMark/>
          </w:tcPr>
          <w:p w:rsidR="00E13AA4" w:rsidRPr="000B7074" w:rsidRDefault="00E13AA4" w:rsidP="005C4F28">
            <w:pPr>
              <w:spacing w:after="0" w:line="276" w:lineRule="auto"/>
              <w:jc w:val="center"/>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Análisis</w:t>
            </w:r>
          </w:p>
        </w:tc>
      </w:tr>
      <w:tr w:rsidR="00B02879" w:rsidRPr="00E13AA4" w:rsidTr="009D2241">
        <w:trPr>
          <w:trHeight w:val="165"/>
          <w:tblHeader/>
        </w:trPr>
        <w:tc>
          <w:tcPr>
            <w:tcW w:w="4120" w:type="dxa"/>
            <w:vMerge/>
            <w:vAlign w:val="center"/>
            <w:hideMark/>
          </w:tcPr>
          <w:p w:rsidR="00E13AA4" w:rsidRPr="000B7074" w:rsidRDefault="00E13AA4" w:rsidP="005C4F28">
            <w:pPr>
              <w:spacing w:after="0" w:line="276" w:lineRule="auto"/>
              <w:rPr>
                <w:rFonts w:ascii="Arial" w:eastAsia="Times New Roman" w:hAnsi="Arial" w:cs="Arial"/>
                <w:b/>
                <w:bCs/>
                <w:color w:val="FFFFFF"/>
                <w:sz w:val="18"/>
                <w:szCs w:val="18"/>
                <w:lang w:val="es-PR" w:eastAsia="es-PR"/>
              </w:rPr>
            </w:pPr>
          </w:p>
        </w:tc>
        <w:tc>
          <w:tcPr>
            <w:tcW w:w="1488" w:type="dxa"/>
            <w:shd w:val="clear" w:color="000000" w:fill="808080"/>
            <w:vAlign w:val="bottom"/>
            <w:hideMark/>
          </w:tcPr>
          <w:p w:rsidR="00E13AA4" w:rsidRPr="000B7074" w:rsidRDefault="00E13AA4" w:rsidP="005C4F28">
            <w:pPr>
              <w:spacing w:after="0" w:line="276" w:lineRule="auto"/>
              <w:jc w:val="right"/>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2016</w:t>
            </w:r>
          </w:p>
        </w:tc>
        <w:tc>
          <w:tcPr>
            <w:tcW w:w="1489" w:type="dxa"/>
            <w:shd w:val="clear" w:color="000000" w:fill="808080"/>
            <w:vAlign w:val="bottom"/>
            <w:hideMark/>
          </w:tcPr>
          <w:p w:rsidR="00E13AA4" w:rsidRPr="000B7074" w:rsidRDefault="00E13AA4" w:rsidP="005C4F28">
            <w:pPr>
              <w:spacing w:after="0" w:line="276" w:lineRule="auto"/>
              <w:jc w:val="right"/>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2017</w:t>
            </w:r>
          </w:p>
        </w:tc>
        <w:tc>
          <w:tcPr>
            <w:tcW w:w="1489" w:type="dxa"/>
            <w:shd w:val="clear" w:color="000000" w:fill="808080"/>
            <w:vAlign w:val="bottom"/>
            <w:hideMark/>
          </w:tcPr>
          <w:p w:rsidR="00E13AA4" w:rsidRPr="000B7074" w:rsidRDefault="00E13AA4" w:rsidP="005C4F28">
            <w:pPr>
              <w:spacing w:after="0" w:line="276" w:lineRule="auto"/>
              <w:jc w:val="right"/>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 Cambio</w:t>
            </w:r>
          </w:p>
        </w:tc>
        <w:tc>
          <w:tcPr>
            <w:tcW w:w="1489" w:type="dxa"/>
            <w:shd w:val="clear" w:color="000000" w:fill="808080"/>
            <w:vAlign w:val="bottom"/>
            <w:hideMark/>
          </w:tcPr>
          <w:p w:rsidR="00E13AA4" w:rsidRPr="000B7074" w:rsidRDefault="00E13AA4" w:rsidP="005C4F28">
            <w:pPr>
              <w:spacing w:after="0" w:line="276" w:lineRule="auto"/>
              <w:jc w:val="right"/>
              <w:rPr>
                <w:rFonts w:ascii="Arial" w:eastAsia="Times New Roman" w:hAnsi="Arial" w:cs="Arial"/>
                <w:b/>
                <w:bCs/>
                <w:color w:val="FFFFFF"/>
                <w:sz w:val="18"/>
                <w:szCs w:val="18"/>
                <w:lang w:val="es-PR" w:eastAsia="es-PR"/>
              </w:rPr>
            </w:pPr>
            <w:r w:rsidRPr="000B7074">
              <w:rPr>
                <w:rFonts w:ascii="Arial" w:eastAsia="Times New Roman" w:hAnsi="Arial" w:cs="Arial"/>
                <w:b/>
                <w:bCs/>
                <w:color w:val="FFFFFF"/>
                <w:sz w:val="18"/>
                <w:szCs w:val="18"/>
                <w:lang w:val="es-PR" w:eastAsia="es-PR"/>
              </w:rPr>
              <w:t>% Cambio</w:t>
            </w:r>
          </w:p>
        </w:tc>
      </w:tr>
      <w:tr w:rsidR="00B02879" w:rsidRPr="00E13AA4" w:rsidTr="009D2241">
        <w:trPr>
          <w:trHeight w:val="432"/>
        </w:trPr>
        <w:tc>
          <w:tcPr>
            <w:tcW w:w="4120" w:type="dxa"/>
            <w:shd w:val="clear" w:color="D9D9D9" w:fill="D9D9D9"/>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Nómina y costos relacionados</w:t>
            </w:r>
          </w:p>
        </w:tc>
        <w:tc>
          <w:tcPr>
            <w:tcW w:w="1488"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$537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$559.6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$22</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4%</w:t>
            </w:r>
          </w:p>
        </w:tc>
      </w:tr>
      <w:tr w:rsidR="00E13AA4" w:rsidRPr="00E13AA4" w:rsidTr="009D2241">
        <w:trPr>
          <w:trHeight w:val="432"/>
        </w:trPr>
        <w:tc>
          <w:tcPr>
            <w:tcW w:w="4120" w:type="dxa"/>
            <w:shd w:val="clear" w:color="auto" w:fill="auto"/>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Facilidades y servicios públicos</w:t>
            </w:r>
          </w:p>
        </w:tc>
        <w:tc>
          <w:tcPr>
            <w:tcW w:w="1488"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$56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$55.7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$.4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-1%</w:t>
            </w:r>
          </w:p>
        </w:tc>
      </w:tr>
      <w:tr w:rsidR="00B02879" w:rsidRPr="00E13AA4" w:rsidTr="009D2241">
        <w:trPr>
          <w:trHeight w:val="432"/>
        </w:trPr>
        <w:tc>
          <w:tcPr>
            <w:tcW w:w="4120" w:type="dxa"/>
            <w:shd w:val="clear" w:color="D9D9D9" w:fill="D9D9D9"/>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Gastos de viaje</w:t>
            </w:r>
          </w:p>
        </w:tc>
        <w:tc>
          <w:tcPr>
            <w:tcW w:w="1488"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$39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$16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($23)</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-60%</w:t>
            </w:r>
          </w:p>
        </w:tc>
      </w:tr>
      <w:tr w:rsidR="00E13AA4" w:rsidRPr="00E13AA4" w:rsidTr="009D2241">
        <w:trPr>
          <w:trHeight w:val="432"/>
        </w:trPr>
        <w:tc>
          <w:tcPr>
            <w:tcW w:w="4120" w:type="dxa"/>
            <w:shd w:val="clear" w:color="auto" w:fill="auto"/>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Servicios Profesionales</w:t>
            </w:r>
          </w:p>
        </w:tc>
        <w:tc>
          <w:tcPr>
            <w:tcW w:w="1488"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$1,218.4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$565.4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sz w:val="18"/>
                <w:szCs w:val="18"/>
                <w:lang w:val="es-PR" w:eastAsia="es-PR"/>
              </w:rPr>
            </w:pPr>
            <w:r w:rsidRPr="000B7074">
              <w:rPr>
                <w:rFonts w:ascii="Arial" w:eastAsia="Times New Roman" w:hAnsi="Arial" w:cs="Arial"/>
                <w:sz w:val="18"/>
                <w:szCs w:val="18"/>
                <w:lang w:val="es-PR" w:eastAsia="es-PR"/>
              </w:rPr>
              <w:t>($653)</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-54%</w:t>
            </w:r>
          </w:p>
        </w:tc>
      </w:tr>
      <w:tr w:rsidR="00B02879" w:rsidRPr="00E13AA4" w:rsidTr="009D2241">
        <w:trPr>
          <w:trHeight w:val="432"/>
        </w:trPr>
        <w:tc>
          <w:tcPr>
            <w:tcW w:w="4120" w:type="dxa"/>
            <w:shd w:val="clear" w:color="D9D9D9" w:fill="D9D9D9"/>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Compra de equipo y sistemas</w:t>
            </w:r>
          </w:p>
        </w:tc>
        <w:tc>
          <w:tcPr>
            <w:tcW w:w="1488"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$1.5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$1.5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$0</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0%</w:t>
            </w:r>
          </w:p>
        </w:tc>
      </w:tr>
      <w:tr w:rsidR="00E13AA4" w:rsidRPr="00E13AA4" w:rsidTr="009D2241">
        <w:trPr>
          <w:trHeight w:val="432"/>
        </w:trPr>
        <w:tc>
          <w:tcPr>
            <w:tcW w:w="4120" w:type="dxa"/>
            <w:shd w:val="clear" w:color="auto" w:fill="auto"/>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Otros gastos operacionales</w:t>
            </w:r>
          </w:p>
        </w:tc>
        <w:tc>
          <w:tcPr>
            <w:tcW w:w="1488"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$79.4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$62.6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($17)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-21%</w:t>
            </w:r>
          </w:p>
        </w:tc>
      </w:tr>
      <w:tr w:rsidR="00B02879" w:rsidRPr="00E13AA4" w:rsidTr="009D2241">
        <w:trPr>
          <w:trHeight w:val="432"/>
        </w:trPr>
        <w:tc>
          <w:tcPr>
            <w:tcW w:w="4120" w:type="dxa"/>
            <w:shd w:val="clear" w:color="D9D9D9" w:fill="D9D9D9"/>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Materiales y suministros</w:t>
            </w:r>
          </w:p>
        </w:tc>
        <w:tc>
          <w:tcPr>
            <w:tcW w:w="1488"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$3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$2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 xml:space="preserve">($1)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-33%</w:t>
            </w:r>
          </w:p>
        </w:tc>
      </w:tr>
      <w:tr w:rsidR="00E13AA4" w:rsidRPr="00E13AA4" w:rsidTr="009D2241">
        <w:trPr>
          <w:trHeight w:val="432"/>
        </w:trPr>
        <w:tc>
          <w:tcPr>
            <w:tcW w:w="4120" w:type="dxa"/>
            <w:shd w:val="clear" w:color="auto" w:fill="auto"/>
            <w:vAlign w:val="bottom"/>
            <w:hideMark/>
          </w:tcPr>
          <w:p w:rsidR="00E13AA4" w:rsidRPr="000B7074" w:rsidRDefault="00E13AA4" w:rsidP="005C4F28">
            <w:pPr>
              <w:spacing w:after="0" w:line="276" w:lineRule="auto"/>
              <w:rPr>
                <w:rFonts w:ascii="Arial" w:eastAsia="Times New Roman" w:hAnsi="Arial" w:cs="Arial"/>
                <w:color w:val="000000"/>
                <w:sz w:val="18"/>
                <w:szCs w:val="18"/>
                <w:lang w:val="es-PR" w:eastAsia="es-PR"/>
              </w:rPr>
            </w:pPr>
            <w:r w:rsidRPr="000B7074">
              <w:rPr>
                <w:rFonts w:ascii="Arial" w:eastAsia="Times New Roman" w:hAnsi="Arial" w:cs="Arial"/>
                <w:color w:val="000000"/>
                <w:sz w:val="18"/>
                <w:szCs w:val="18"/>
                <w:lang w:val="es-PR" w:eastAsia="es-PR"/>
              </w:rPr>
              <w:t>Contingencia para posibles gastos incidentales</w:t>
            </w:r>
          </w:p>
        </w:tc>
        <w:tc>
          <w:tcPr>
            <w:tcW w:w="1488"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single"/>
                <w:lang w:val="es-PR" w:eastAsia="es-PR"/>
              </w:rPr>
            </w:pPr>
            <w:r w:rsidRPr="000B7074">
              <w:rPr>
                <w:rFonts w:ascii="Arial" w:eastAsia="Times New Roman" w:hAnsi="Arial" w:cs="Arial"/>
                <w:color w:val="000000"/>
                <w:sz w:val="18"/>
                <w:szCs w:val="18"/>
                <w:u w:val="single"/>
                <w:lang w:val="es-PR" w:eastAsia="es-PR"/>
              </w:rPr>
              <w:t xml:space="preserve">$100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single"/>
                <w:lang w:val="es-PR" w:eastAsia="es-PR"/>
              </w:rPr>
            </w:pPr>
            <w:r w:rsidRPr="000B7074">
              <w:rPr>
                <w:rFonts w:ascii="Arial" w:eastAsia="Times New Roman" w:hAnsi="Arial" w:cs="Arial"/>
                <w:color w:val="000000"/>
                <w:sz w:val="18"/>
                <w:szCs w:val="18"/>
                <w:u w:val="single"/>
                <w:lang w:val="es-PR" w:eastAsia="es-PR"/>
              </w:rPr>
              <w:t xml:space="preserve">$100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single"/>
                <w:lang w:val="es-PR" w:eastAsia="es-PR"/>
              </w:rPr>
            </w:pPr>
            <w:r w:rsidRPr="000B7074">
              <w:rPr>
                <w:rFonts w:ascii="Arial" w:eastAsia="Times New Roman" w:hAnsi="Arial" w:cs="Arial"/>
                <w:color w:val="000000"/>
                <w:sz w:val="18"/>
                <w:szCs w:val="18"/>
                <w:u w:val="single"/>
                <w:lang w:val="es-PR" w:eastAsia="es-PR"/>
              </w:rPr>
              <w:t xml:space="preserve">$0 </w:t>
            </w:r>
          </w:p>
        </w:tc>
        <w:tc>
          <w:tcPr>
            <w:tcW w:w="1489" w:type="dxa"/>
            <w:shd w:val="clear" w:color="auto" w:fill="auto"/>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single"/>
                <w:lang w:val="es-PR" w:eastAsia="es-PR"/>
              </w:rPr>
            </w:pPr>
            <w:r w:rsidRPr="000B7074">
              <w:rPr>
                <w:rFonts w:ascii="Arial" w:eastAsia="Times New Roman" w:hAnsi="Arial" w:cs="Arial"/>
                <w:color w:val="000000"/>
                <w:sz w:val="18"/>
                <w:szCs w:val="18"/>
                <w:u w:val="single"/>
                <w:lang w:val="es-PR" w:eastAsia="es-PR"/>
              </w:rPr>
              <w:t>0%</w:t>
            </w:r>
          </w:p>
        </w:tc>
      </w:tr>
      <w:tr w:rsidR="00B02879" w:rsidRPr="00E13AA4" w:rsidTr="009D2241">
        <w:trPr>
          <w:trHeight w:val="432"/>
        </w:trPr>
        <w:tc>
          <w:tcPr>
            <w:tcW w:w="4120" w:type="dxa"/>
            <w:shd w:val="clear" w:color="D9D9D9" w:fill="D9D9D9"/>
            <w:vAlign w:val="bottom"/>
            <w:hideMark/>
          </w:tcPr>
          <w:p w:rsidR="00E13AA4" w:rsidRPr="000B7074" w:rsidRDefault="00E13AA4" w:rsidP="005C4F28">
            <w:pPr>
              <w:spacing w:after="0" w:line="276" w:lineRule="auto"/>
              <w:rPr>
                <w:rFonts w:ascii="Arial" w:eastAsia="Times New Roman" w:hAnsi="Arial" w:cs="Arial"/>
                <w:b/>
                <w:bCs/>
                <w:color w:val="000000"/>
                <w:sz w:val="18"/>
                <w:szCs w:val="18"/>
                <w:lang w:val="es-PR" w:eastAsia="es-PR"/>
              </w:rPr>
            </w:pPr>
            <w:r w:rsidRPr="000B7074">
              <w:rPr>
                <w:rFonts w:ascii="Arial" w:eastAsia="Times New Roman" w:hAnsi="Arial" w:cs="Arial"/>
                <w:b/>
                <w:bCs/>
                <w:color w:val="000000"/>
                <w:sz w:val="18"/>
                <w:szCs w:val="18"/>
                <w:lang w:val="es-PR" w:eastAsia="es-PR"/>
              </w:rPr>
              <w:t>Total de gastos operacionales</w:t>
            </w:r>
          </w:p>
        </w:tc>
        <w:tc>
          <w:tcPr>
            <w:tcW w:w="1488"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double"/>
                <w:lang w:val="es-PR" w:eastAsia="es-PR"/>
              </w:rPr>
            </w:pPr>
            <w:r w:rsidRPr="000B7074">
              <w:rPr>
                <w:rFonts w:ascii="Arial" w:eastAsia="Times New Roman" w:hAnsi="Arial" w:cs="Arial"/>
                <w:color w:val="000000"/>
                <w:sz w:val="18"/>
                <w:szCs w:val="18"/>
                <w:u w:val="double"/>
                <w:lang w:val="es-PR" w:eastAsia="es-PR"/>
              </w:rPr>
              <w:t xml:space="preserve">$2,034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double"/>
                <w:lang w:val="es-PR" w:eastAsia="es-PR"/>
              </w:rPr>
            </w:pPr>
            <w:r w:rsidRPr="000B7074">
              <w:rPr>
                <w:rFonts w:ascii="Arial" w:eastAsia="Times New Roman" w:hAnsi="Arial" w:cs="Arial"/>
                <w:color w:val="000000"/>
                <w:sz w:val="18"/>
                <w:szCs w:val="18"/>
                <w:u w:val="double"/>
                <w:lang w:val="es-PR" w:eastAsia="es-PR"/>
              </w:rPr>
              <w:t xml:space="preserve">$1,362 </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double"/>
                <w:lang w:val="es-PR" w:eastAsia="es-PR"/>
              </w:rPr>
            </w:pPr>
            <w:r w:rsidRPr="000B7074">
              <w:rPr>
                <w:rFonts w:ascii="Arial" w:eastAsia="Times New Roman" w:hAnsi="Arial" w:cs="Arial"/>
                <w:color w:val="000000"/>
                <w:sz w:val="18"/>
                <w:szCs w:val="18"/>
                <w:u w:val="double"/>
                <w:lang w:val="es-PR" w:eastAsia="es-PR"/>
              </w:rPr>
              <w:t>($672)</w:t>
            </w:r>
          </w:p>
        </w:tc>
        <w:tc>
          <w:tcPr>
            <w:tcW w:w="1489" w:type="dxa"/>
            <w:shd w:val="clear" w:color="D9D9D9" w:fill="D9D9D9"/>
            <w:vAlign w:val="bottom"/>
            <w:hideMark/>
          </w:tcPr>
          <w:p w:rsidR="00E13AA4" w:rsidRPr="000B7074" w:rsidRDefault="00E13AA4" w:rsidP="005C4F28">
            <w:pPr>
              <w:spacing w:after="0" w:line="276" w:lineRule="auto"/>
              <w:jc w:val="right"/>
              <w:rPr>
                <w:rFonts w:ascii="Arial" w:eastAsia="Times New Roman" w:hAnsi="Arial" w:cs="Arial"/>
                <w:color w:val="000000"/>
                <w:sz w:val="18"/>
                <w:szCs w:val="18"/>
                <w:u w:val="double"/>
                <w:lang w:val="es-PR" w:eastAsia="es-PR"/>
              </w:rPr>
            </w:pPr>
            <w:r w:rsidRPr="000B7074">
              <w:rPr>
                <w:rFonts w:ascii="Arial" w:eastAsia="Times New Roman" w:hAnsi="Arial" w:cs="Arial"/>
                <w:color w:val="000000"/>
                <w:sz w:val="18"/>
                <w:szCs w:val="18"/>
                <w:u w:val="double"/>
                <w:lang w:val="es-PR" w:eastAsia="es-PR"/>
              </w:rPr>
              <w:t>-33%</w:t>
            </w:r>
          </w:p>
        </w:tc>
      </w:tr>
    </w:tbl>
    <w:p w:rsidR="00E13AA4" w:rsidRDefault="00E13AA4" w:rsidP="00E13AA4">
      <w:pPr>
        <w:rPr>
          <w:b/>
          <w:lang w:val="es-US"/>
        </w:rPr>
      </w:pPr>
    </w:p>
    <w:p w:rsidR="00E13AA4" w:rsidRPr="000B7074" w:rsidRDefault="00E13AA4" w:rsidP="00E13AA4">
      <w:pPr>
        <w:ind w:left="810" w:hanging="810"/>
        <w:rPr>
          <w:rFonts w:ascii="Arial" w:hAnsi="Arial" w:cs="Arial"/>
          <w:b/>
          <w:lang w:val="es-US"/>
        </w:rPr>
      </w:pPr>
      <w:r w:rsidRPr="000B7074">
        <w:rPr>
          <w:rFonts w:ascii="Arial" w:hAnsi="Arial" w:cs="Arial"/>
          <w:b/>
          <w:lang w:val="es-US"/>
        </w:rPr>
        <w:t>Tabla 2</w:t>
      </w:r>
    </w:p>
    <w:tbl>
      <w:tblPr>
        <w:tblStyle w:val="TableGrid11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175"/>
        <w:gridCol w:w="1260"/>
        <w:gridCol w:w="1260"/>
        <w:gridCol w:w="1260"/>
        <w:gridCol w:w="1250"/>
      </w:tblGrid>
      <w:tr w:rsidR="00E13AA4" w:rsidRPr="005030AE" w:rsidTr="009D2241">
        <w:trPr>
          <w:trHeight w:val="468"/>
          <w:tblHeader/>
        </w:trPr>
        <w:tc>
          <w:tcPr>
            <w:tcW w:w="10075" w:type="dxa"/>
            <w:gridSpan w:val="6"/>
            <w:shd w:val="clear" w:color="auto" w:fill="D9C19B"/>
            <w:vAlign w:val="center"/>
          </w:tcPr>
          <w:p w:rsidR="00E13AA4" w:rsidRPr="000B7074" w:rsidRDefault="00E13AA4" w:rsidP="000B7074">
            <w:pPr>
              <w:spacing w:line="276" w:lineRule="auto"/>
              <w:jc w:val="center"/>
              <w:rPr>
                <w:rFonts w:ascii="Arial" w:hAnsi="Arial" w:cs="Arial"/>
                <w:b/>
                <w:bCs/>
                <w:sz w:val="18"/>
                <w:szCs w:val="18"/>
                <w:lang w:val="es-US" w:eastAsia="es-PR"/>
              </w:rPr>
            </w:pPr>
            <w:r w:rsidRPr="000B7074">
              <w:rPr>
                <w:rFonts w:ascii="Arial" w:hAnsi="Arial" w:cs="Arial"/>
                <w:b/>
                <w:bCs/>
                <w:sz w:val="18"/>
                <w:szCs w:val="18"/>
                <w:lang w:val="es-US" w:eastAsia="es-PR"/>
              </w:rPr>
              <w:t>PRESUPUESTO OPERACIONAL ÚLTIMOS CINCO AÑOS</w:t>
            </w:r>
          </w:p>
        </w:tc>
      </w:tr>
      <w:tr w:rsidR="00E13AA4" w:rsidRPr="00E13AA4" w:rsidTr="009D2241">
        <w:trPr>
          <w:trHeight w:val="206"/>
          <w:tblHeader/>
        </w:trPr>
        <w:tc>
          <w:tcPr>
            <w:tcW w:w="3870" w:type="dxa"/>
            <w:shd w:val="clear" w:color="auto" w:fill="A6A6A6"/>
            <w:vAlign w:val="bottom"/>
          </w:tcPr>
          <w:p w:rsidR="00E13AA4" w:rsidRPr="000B7074" w:rsidRDefault="00E13AA4" w:rsidP="000B7074">
            <w:pPr>
              <w:spacing w:line="276" w:lineRule="auto"/>
              <w:rPr>
                <w:rFonts w:ascii="Arial" w:hAnsi="Arial" w:cs="Arial"/>
                <w:color w:val="FFFFFF" w:themeColor="background1"/>
                <w:sz w:val="18"/>
                <w:szCs w:val="18"/>
                <w:lang w:val="es-US"/>
              </w:rPr>
            </w:pPr>
            <w:r w:rsidRPr="000B7074">
              <w:rPr>
                <w:rFonts w:ascii="Arial" w:hAnsi="Arial" w:cs="Arial"/>
                <w:b/>
                <w:color w:val="FFFFFF"/>
                <w:sz w:val="18"/>
                <w:szCs w:val="18"/>
                <w:lang w:val="es-US"/>
              </w:rPr>
              <w:t>Año Fiscal</w:t>
            </w:r>
          </w:p>
        </w:tc>
        <w:tc>
          <w:tcPr>
            <w:tcW w:w="1175" w:type="dxa"/>
            <w:shd w:val="clear" w:color="auto" w:fill="A6A6A6"/>
            <w:vAlign w:val="bottom"/>
          </w:tcPr>
          <w:p w:rsidR="00E13AA4" w:rsidRPr="000B7074" w:rsidRDefault="00E13AA4" w:rsidP="000B7074">
            <w:pPr>
              <w:spacing w:line="276" w:lineRule="auto"/>
              <w:jc w:val="right"/>
              <w:rPr>
                <w:rFonts w:ascii="Arial" w:hAnsi="Arial" w:cs="Arial"/>
                <w:b/>
                <w:color w:val="FFFFFF"/>
                <w:sz w:val="18"/>
                <w:szCs w:val="18"/>
                <w:lang w:val="es-US"/>
              </w:rPr>
            </w:pPr>
            <w:r w:rsidRPr="000B7074">
              <w:rPr>
                <w:rFonts w:ascii="Arial" w:hAnsi="Arial" w:cs="Arial"/>
                <w:b/>
                <w:color w:val="FFFFFF"/>
                <w:sz w:val="18"/>
                <w:szCs w:val="18"/>
                <w:lang w:val="es-US"/>
              </w:rPr>
              <w:t>2012-2013</w:t>
            </w:r>
          </w:p>
        </w:tc>
        <w:tc>
          <w:tcPr>
            <w:tcW w:w="1260" w:type="dxa"/>
            <w:shd w:val="clear" w:color="auto" w:fill="A6A6A6"/>
            <w:vAlign w:val="bottom"/>
          </w:tcPr>
          <w:p w:rsidR="00E13AA4" w:rsidRPr="000B7074" w:rsidRDefault="00E13AA4" w:rsidP="000B7074">
            <w:pPr>
              <w:spacing w:line="276" w:lineRule="auto"/>
              <w:jc w:val="right"/>
              <w:rPr>
                <w:rFonts w:ascii="Arial" w:hAnsi="Arial" w:cs="Arial"/>
                <w:b/>
                <w:color w:val="FFFFFF"/>
                <w:sz w:val="18"/>
                <w:szCs w:val="18"/>
                <w:lang w:val="es-US"/>
              </w:rPr>
            </w:pPr>
            <w:r w:rsidRPr="000B7074">
              <w:rPr>
                <w:rFonts w:ascii="Arial" w:hAnsi="Arial" w:cs="Arial"/>
                <w:b/>
                <w:color w:val="FFFFFF"/>
                <w:sz w:val="18"/>
                <w:szCs w:val="18"/>
                <w:lang w:val="es-US"/>
              </w:rPr>
              <w:t>2013-2014</w:t>
            </w:r>
          </w:p>
        </w:tc>
        <w:tc>
          <w:tcPr>
            <w:tcW w:w="1260" w:type="dxa"/>
            <w:shd w:val="clear" w:color="auto" w:fill="A6A6A6"/>
            <w:vAlign w:val="bottom"/>
          </w:tcPr>
          <w:p w:rsidR="00E13AA4" w:rsidRPr="000B7074" w:rsidRDefault="00E13AA4" w:rsidP="000B7074">
            <w:pPr>
              <w:spacing w:line="276" w:lineRule="auto"/>
              <w:jc w:val="right"/>
              <w:rPr>
                <w:rFonts w:ascii="Arial" w:hAnsi="Arial" w:cs="Arial"/>
                <w:b/>
                <w:color w:val="FFFFFF"/>
                <w:sz w:val="18"/>
                <w:szCs w:val="18"/>
                <w:lang w:val="es-US"/>
              </w:rPr>
            </w:pPr>
            <w:r w:rsidRPr="000B7074">
              <w:rPr>
                <w:rFonts w:ascii="Arial" w:hAnsi="Arial" w:cs="Arial"/>
                <w:b/>
                <w:color w:val="FFFFFF"/>
                <w:sz w:val="18"/>
                <w:szCs w:val="18"/>
                <w:lang w:val="es-US"/>
              </w:rPr>
              <w:t>2014-2015</w:t>
            </w:r>
          </w:p>
        </w:tc>
        <w:tc>
          <w:tcPr>
            <w:tcW w:w="1260" w:type="dxa"/>
            <w:shd w:val="clear" w:color="auto" w:fill="A6A6A6"/>
            <w:vAlign w:val="bottom"/>
          </w:tcPr>
          <w:p w:rsidR="00E13AA4" w:rsidRPr="000B7074" w:rsidRDefault="00E13AA4" w:rsidP="000B7074">
            <w:pPr>
              <w:spacing w:line="276" w:lineRule="auto"/>
              <w:jc w:val="right"/>
              <w:rPr>
                <w:rFonts w:ascii="Arial" w:hAnsi="Arial" w:cs="Arial"/>
                <w:b/>
                <w:color w:val="FFFFFF"/>
                <w:sz w:val="18"/>
                <w:szCs w:val="18"/>
                <w:lang w:val="es-US"/>
              </w:rPr>
            </w:pPr>
            <w:r w:rsidRPr="000B7074">
              <w:rPr>
                <w:rFonts w:ascii="Arial" w:hAnsi="Arial" w:cs="Arial"/>
                <w:b/>
                <w:color w:val="FFFFFF"/>
                <w:sz w:val="18"/>
                <w:szCs w:val="18"/>
                <w:lang w:val="es-US"/>
              </w:rPr>
              <w:t xml:space="preserve">2015-2016 </w:t>
            </w:r>
          </w:p>
        </w:tc>
        <w:tc>
          <w:tcPr>
            <w:tcW w:w="1250" w:type="dxa"/>
            <w:shd w:val="clear" w:color="auto" w:fill="A6A6A6"/>
            <w:vAlign w:val="bottom"/>
          </w:tcPr>
          <w:p w:rsidR="00E13AA4" w:rsidRPr="000B7074" w:rsidRDefault="00E13AA4" w:rsidP="000B7074">
            <w:pPr>
              <w:spacing w:line="276" w:lineRule="auto"/>
              <w:jc w:val="right"/>
              <w:rPr>
                <w:rFonts w:ascii="Arial" w:hAnsi="Arial" w:cs="Arial"/>
                <w:b/>
                <w:color w:val="FFFFFF"/>
                <w:sz w:val="18"/>
                <w:szCs w:val="18"/>
                <w:lang w:val="es-US"/>
              </w:rPr>
            </w:pPr>
            <w:r w:rsidRPr="000B7074">
              <w:rPr>
                <w:rFonts w:ascii="Arial" w:hAnsi="Arial" w:cs="Arial"/>
                <w:b/>
                <w:color w:val="FFFFFF"/>
                <w:sz w:val="18"/>
                <w:szCs w:val="18"/>
                <w:lang w:val="es-US"/>
              </w:rPr>
              <w:t>2016-2017</w:t>
            </w:r>
          </w:p>
        </w:tc>
      </w:tr>
      <w:tr w:rsidR="00E13AA4" w:rsidRPr="00E13AA4" w:rsidTr="009D2241">
        <w:trPr>
          <w:trHeight w:val="503"/>
        </w:trPr>
        <w:tc>
          <w:tcPr>
            <w:tcW w:w="3870" w:type="dxa"/>
            <w:vAlign w:val="bottom"/>
          </w:tcPr>
          <w:p w:rsidR="00E13AA4" w:rsidRPr="000B7074" w:rsidRDefault="00E13AA4" w:rsidP="000B7074">
            <w:pPr>
              <w:spacing w:line="276" w:lineRule="auto"/>
              <w:rPr>
                <w:rFonts w:ascii="Arial" w:hAnsi="Arial" w:cs="Arial"/>
                <w:sz w:val="18"/>
                <w:szCs w:val="18"/>
                <w:lang w:val="es-US"/>
              </w:rPr>
            </w:pPr>
            <w:r w:rsidRPr="000B7074">
              <w:rPr>
                <w:rFonts w:ascii="Arial" w:hAnsi="Arial" w:cs="Arial"/>
                <w:sz w:val="18"/>
                <w:szCs w:val="18"/>
                <w:lang w:val="es-US"/>
              </w:rPr>
              <w:t>Presupuesto operacional aprob</w:t>
            </w:r>
            <w:bookmarkStart w:id="0" w:name="_GoBack"/>
            <w:bookmarkEnd w:id="0"/>
            <w:r w:rsidRPr="000B7074">
              <w:rPr>
                <w:rFonts w:ascii="Arial" w:hAnsi="Arial" w:cs="Arial"/>
                <w:sz w:val="18"/>
                <w:szCs w:val="18"/>
                <w:lang w:val="es-US"/>
              </w:rPr>
              <w:t xml:space="preserve">ado por la Junta de Directores </w:t>
            </w:r>
          </w:p>
        </w:tc>
        <w:tc>
          <w:tcPr>
            <w:tcW w:w="1175" w:type="dxa"/>
            <w:vAlign w:val="bottom"/>
          </w:tcPr>
          <w:p w:rsidR="00E13AA4" w:rsidRPr="000B7074" w:rsidRDefault="00E13AA4">
            <w:pPr>
              <w:spacing w:after="160" w:line="276" w:lineRule="auto"/>
              <w:jc w:val="right"/>
              <w:rPr>
                <w:rFonts w:ascii="Arial" w:hAnsi="Arial" w:cs="Arial"/>
                <w:sz w:val="18"/>
                <w:szCs w:val="18"/>
                <w:lang w:val="es-US"/>
              </w:rPr>
            </w:pPr>
            <w:r w:rsidRPr="000B7074">
              <w:rPr>
                <w:rFonts w:ascii="Arial" w:hAnsi="Arial" w:cs="Arial"/>
                <w:sz w:val="18"/>
                <w:szCs w:val="18"/>
                <w:lang w:val="es-US"/>
              </w:rPr>
              <w:t>$5,330,589</w:t>
            </w:r>
          </w:p>
        </w:tc>
        <w:tc>
          <w:tcPr>
            <w:tcW w:w="1260" w:type="dxa"/>
            <w:vAlign w:val="bottom"/>
          </w:tcPr>
          <w:p w:rsidR="00E13AA4" w:rsidRPr="000B7074" w:rsidRDefault="00E13AA4">
            <w:pPr>
              <w:spacing w:after="160" w:line="276" w:lineRule="auto"/>
              <w:jc w:val="right"/>
              <w:rPr>
                <w:rFonts w:ascii="Arial" w:hAnsi="Arial" w:cs="Arial"/>
                <w:sz w:val="18"/>
                <w:szCs w:val="18"/>
                <w:lang w:val="es-US"/>
              </w:rPr>
            </w:pPr>
            <w:r w:rsidRPr="000B7074">
              <w:rPr>
                <w:rFonts w:ascii="Arial" w:hAnsi="Arial" w:cs="Arial"/>
                <w:sz w:val="18"/>
                <w:szCs w:val="18"/>
                <w:lang w:val="es-US"/>
              </w:rPr>
              <w:t>$5,155,000</w:t>
            </w:r>
          </w:p>
        </w:tc>
        <w:tc>
          <w:tcPr>
            <w:tcW w:w="1260" w:type="dxa"/>
            <w:vAlign w:val="bottom"/>
          </w:tcPr>
          <w:p w:rsidR="00E13AA4" w:rsidRPr="000B7074" w:rsidRDefault="00E13AA4">
            <w:pPr>
              <w:spacing w:after="160" w:line="276" w:lineRule="auto"/>
              <w:jc w:val="right"/>
              <w:rPr>
                <w:rFonts w:ascii="Arial" w:hAnsi="Arial" w:cs="Arial"/>
                <w:sz w:val="18"/>
                <w:szCs w:val="18"/>
                <w:lang w:val="es-US"/>
              </w:rPr>
            </w:pPr>
            <w:r w:rsidRPr="000B7074">
              <w:rPr>
                <w:rFonts w:ascii="Arial" w:hAnsi="Arial" w:cs="Arial"/>
                <w:sz w:val="18"/>
                <w:szCs w:val="18"/>
                <w:lang w:val="es-US"/>
              </w:rPr>
              <w:t>$2,265,522</w:t>
            </w:r>
          </w:p>
        </w:tc>
        <w:tc>
          <w:tcPr>
            <w:tcW w:w="1260" w:type="dxa"/>
            <w:vAlign w:val="bottom"/>
          </w:tcPr>
          <w:p w:rsidR="00E13AA4" w:rsidRPr="000B7074" w:rsidRDefault="00E13AA4">
            <w:pPr>
              <w:spacing w:after="160" w:line="276" w:lineRule="auto"/>
              <w:jc w:val="right"/>
              <w:rPr>
                <w:rFonts w:ascii="Arial" w:hAnsi="Arial" w:cs="Arial"/>
                <w:sz w:val="18"/>
                <w:szCs w:val="18"/>
                <w:lang w:val="es-US"/>
              </w:rPr>
            </w:pPr>
            <w:r w:rsidRPr="000B7074">
              <w:rPr>
                <w:rFonts w:ascii="Arial" w:hAnsi="Arial" w:cs="Arial"/>
                <w:sz w:val="18"/>
                <w:szCs w:val="18"/>
                <w:lang w:val="es-US"/>
              </w:rPr>
              <w:t>$2,034,703</w:t>
            </w:r>
          </w:p>
        </w:tc>
        <w:tc>
          <w:tcPr>
            <w:tcW w:w="1250" w:type="dxa"/>
            <w:vAlign w:val="bottom"/>
          </w:tcPr>
          <w:p w:rsidR="00E13AA4" w:rsidRPr="000B7074" w:rsidRDefault="00E13AA4">
            <w:pPr>
              <w:spacing w:after="160" w:line="276" w:lineRule="auto"/>
              <w:jc w:val="right"/>
              <w:rPr>
                <w:rFonts w:ascii="Arial" w:hAnsi="Arial" w:cs="Arial"/>
                <w:sz w:val="18"/>
                <w:szCs w:val="18"/>
                <w:lang w:val="es-US"/>
              </w:rPr>
            </w:pPr>
            <w:r w:rsidRPr="000B7074">
              <w:rPr>
                <w:rFonts w:ascii="Arial" w:hAnsi="Arial" w:cs="Arial"/>
                <w:sz w:val="18"/>
                <w:szCs w:val="18"/>
                <w:lang w:val="es-US"/>
              </w:rPr>
              <w:t>$1,362,582</w:t>
            </w:r>
          </w:p>
        </w:tc>
      </w:tr>
    </w:tbl>
    <w:p w:rsidR="00E13AA4" w:rsidRPr="00E13AA4" w:rsidRDefault="00E13AA4" w:rsidP="00E13AA4">
      <w:pPr>
        <w:rPr>
          <w:lang w:val="es-US"/>
        </w:rPr>
      </w:pPr>
    </w:p>
    <w:p w:rsidR="00E13AA4" w:rsidRPr="000B7074" w:rsidRDefault="00E13AA4">
      <w:pPr>
        <w:rPr>
          <w:rFonts w:ascii="Arial" w:hAnsi="Arial" w:cs="Arial"/>
          <w:b/>
          <w:lang w:val="es-US"/>
        </w:rPr>
      </w:pPr>
      <w:r w:rsidRPr="000B7074">
        <w:rPr>
          <w:rFonts w:ascii="Arial" w:hAnsi="Arial" w:cs="Arial"/>
          <w:b/>
          <w:lang w:val="es-US"/>
        </w:rPr>
        <w:t>Tabla 3</w:t>
      </w:r>
    </w:p>
    <w:tbl>
      <w:tblPr>
        <w:tblStyle w:val="TableGrid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260"/>
        <w:gridCol w:w="720"/>
        <w:gridCol w:w="1260"/>
        <w:gridCol w:w="1350"/>
        <w:gridCol w:w="1170"/>
      </w:tblGrid>
      <w:tr w:rsidR="00E13AA4" w:rsidRPr="00E13AA4" w:rsidTr="009D2241">
        <w:trPr>
          <w:trHeight w:val="378"/>
          <w:tblHeader/>
        </w:trPr>
        <w:tc>
          <w:tcPr>
            <w:tcW w:w="10080" w:type="dxa"/>
            <w:gridSpan w:val="6"/>
            <w:shd w:val="clear" w:color="auto" w:fill="D9C19B"/>
            <w:vAlign w:val="center"/>
          </w:tcPr>
          <w:p w:rsidR="00E13AA4" w:rsidRPr="000B7074" w:rsidRDefault="00E13AA4" w:rsidP="00E13AA4">
            <w:pPr>
              <w:spacing w:line="276" w:lineRule="auto"/>
              <w:jc w:val="center"/>
              <w:rPr>
                <w:rFonts w:ascii="Arial" w:hAnsi="Arial" w:cs="Arial"/>
                <w:b/>
                <w:bCs/>
                <w:sz w:val="18"/>
                <w:lang w:val="es-PR" w:eastAsia="es-PR"/>
              </w:rPr>
            </w:pPr>
            <w:r w:rsidRPr="000B7074">
              <w:rPr>
                <w:rFonts w:ascii="Arial" w:hAnsi="Arial" w:cs="Arial"/>
                <w:b/>
                <w:bCs/>
                <w:sz w:val="18"/>
                <w:lang w:val="es-PR" w:eastAsia="es-PR"/>
              </w:rPr>
              <w:t xml:space="preserve">ESTIMADO CUENTAS POR COBRAR </w:t>
            </w:r>
          </w:p>
        </w:tc>
      </w:tr>
      <w:tr w:rsidR="00E13AA4" w:rsidRPr="00E13AA4" w:rsidTr="009D2241">
        <w:trPr>
          <w:trHeight w:val="324"/>
          <w:tblHeader/>
        </w:trPr>
        <w:tc>
          <w:tcPr>
            <w:tcW w:w="4320" w:type="dxa"/>
            <w:shd w:val="clear" w:color="auto" w:fill="A6A6A6"/>
            <w:vAlign w:val="center"/>
          </w:tcPr>
          <w:p w:rsidR="00E13AA4" w:rsidRPr="00E13AA4" w:rsidRDefault="00E13AA4" w:rsidP="00E13AA4">
            <w:pPr>
              <w:spacing w:line="276" w:lineRule="auto"/>
              <w:rPr>
                <w:rFonts w:ascii="Arial" w:hAnsi="Arial" w:cs="Arial"/>
                <w:color w:val="FFFFFF"/>
                <w:lang w:val="es-PR"/>
              </w:rPr>
            </w:pPr>
            <w:r w:rsidRPr="00E13AA4">
              <w:rPr>
                <w:rFonts w:ascii="Arial" w:hAnsi="Arial" w:cs="Arial"/>
                <w:b/>
                <w:color w:val="FFFFFF"/>
                <w:lang w:val="es-PR"/>
              </w:rPr>
              <w:t>Proyecto</w:t>
            </w:r>
          </w:p>
        </w:tc>
        <w:tc>
          <w:tcPr>
            <w:tcW w:w="1260" w:type="dxa"/>
            <w:shd w:val="clear" w:color="auto" w:fill="A6A6A6"/>
            <w:vAlign w:val="bottom"/>
          </w:tcPr>
          <w:p w:rsidR="00E13AA4" w:rsidRPr="000B7074" w:rsidRDefault="00E13AA4">
            <w:pPr>
              <w:spacing w:line="276" w:lineRule="auto"/>
              <w:jc w:val="right"/>
              <w:rPr>
                <w:rFonts w:ascii="Arial" w:hAnsi="Arial" w:cs="Arial"/>
                <w:b/>
                <w:color w:val="FFFFFF"/>
                <w:sz w:val="18"/>
                <w:lang w:val="es-PR"/>
              </w:rPr>
            </w:pPr>
            <w:r w:rsidRPr="000B7074">
              <w:rPr>
                <w:rFonts w:ascii="Arial" w:hAnsi="Arial" w:cs="Arial"/>
                <w:b/>
                <w:color w:val="FFFFFF"/>
                <w:sz w:val="18"/>
                <w:lang w:val="es-PR"/>
              </w:rPr>
              <w:t>Gasto acumulado consultores</w:t>
            </w:r>
          </w:p>
        </w:tc>
        <w:tc>
          <w:tcPr>
            <w:tcW w:w="720" w:type="dxa"/>
            <w:shd w:val="clear" w:color="auto" w:fill="A6A6A6"/>
            <w:vAlign w:val="bottom"/>
          </w:tcPr>
          <w:p w:rsidR="00E13AA4" w:rsidRPr="000B7074" w:rsidRDefault="00E13AA4" w:rsidP="00E13AA4">
            <w:pPr>
              <w:spacing w:line="276" w:lineRule="auto"/>
              <w:jc w:val="right"/>
              <w:rPr>
                <w:rFonts w:ascii="Arial" w:hAnsi="Arial" w:cs="Arial"/>
                <w:b/>
                <w:color w:val="FFFFFF"/>
                <w:sz w:val="18"/>
                <w:lang w:val="es-PR"/>
              </w:rPr>
            </w:pPr>
            <w:r w:rsidRPr="000B7074">
              <w:rPr>
                <w:rFonts w:ascii="Arial" w:hAnsi="Arial" w:cs="Arial"/>
                <w:b/>
                <w:color w:val="FFFFFF"/>
                <w:sz w:val="18"/>
                <w:lang w:val="es-PR"/>
              </w:rPr>
              <w:t>%</w:t>
            </w:r>
          </w:p>
        </w:tc>
        <w:tc>
          <w:tcPr>
            <w:tcW w:w="1260" w:type="dxa"/>
            <w:shd w:val="clear" w:color="auto" w:fill="A6A6A6"/>
            <w:vAlign w:val="bottom"/>
          </w:tcPr>
          <w:p w:rsidR="00E13AA4" w:rsidRPr="000B7074" w:rsidRDefault="00E13AA4" w:rsidP="00E13AA4">
            <w:pPr>
              <w:spacing w:line="276" w:lineRule="auto"/>
              <w:jc w:val="right"/>
              <w:rPr>
                <w:rFonts w:ascii="Arial" w:hAnsi="Arial" w:cs="Arial"/>
                <w:b/>
                <w:color w:val="FFFFFF"/>
                <w:sz w:val="18"/>
                <w:lang w:val="es-PR"/>
              </w:rPr>
            </w:pPr>
            <w:r w:rsidRPr="000B7074">
              <w:rPr>
                <w:rFonts w:ascii="Arial" w:hAnsi="Arial" w:cs="Arial"/>
                <w:b/>
                <w:color w:val="FFFFFF"/>
                <w:sz w:val="18"/>
                <w:lang w:val="es-PR"/>
              </w:rPr>
              <w:t>Cargos por servicio</w:t>
            </w:r>
          </w:p>
        </w:tc>
        <w:tc>
          <w:tcPr>
            <w:tcW w:w="1350" w:type="dxa"/>
            <w:shd w:val="clear" w:color="auto" w:fill="A6A6A6"/>
            <w:vAlign w:val="bottom"/>
          </w:tcPr>
          <w:p w:rsidR="00E13AA4" w:rsidRPr="000B7074" w:rsidRDefault="00E13AA4">
            <w:pPr>
              <w:spacing w:line="276" w:lineRule="auto"/>
              <w:jc w:val="right"/>
              <w:rPr>
                <w:rFonts w:ascii="Arial" w:hAnsi="Arial" w:cs="Arial"/>
                <w:b/>
                <w:color w:val="FFFFFF"/>
                <w:sz w:val="18"/>
                <w:lang w:val="es-PR"/>
              </w:rPr>
            </w:pPr>
            <w:r w:rsidRPr="000B7074">
              <w:rPr>
                <w:rFonts w:ascii="Arial" w:hAnsi="Arial" w:cs="Arial"/>
                <w:b/>
                <w:color w:val="FFFFFF"/>
                <w:sz w:val="18"/>
                <w:lang w:val="es-PR"/>
              </w:rPr>
              <w:t>Estimado de intereses</w:t>
            </w:r>
          </w:p>
        </w:tc>
        <w:tc>
          <w:tcPr>
            <w:tcW w:w="1170" w:type="dxa"/>
            <w:shd w:val="clear" w:color="auto" w:fill="A6A6A6"/>
            <w:vAlign w:val="bottom"/>
          </w:tcPr>
          <w:p w:rsidR="00E13AA4" w:rsidRPr="000B7074" w:rsidRDefault="00E13AA4" w:rsidP="00E13AA4">
            <w:pPr>
              <w:spacing w:line="276" w:lineRule="auto"/>
              <w:jc w:val="right"/>
              <w:rPr>
                <w:rFonts w:ascii="Arial" w:hAnsi="Arial" w:cs="Arial"/>
                <w:b/>
                <w:color w:val="FFFFFF"/>
                <w:sz w:val="18"/>
                <w:lang w:val="es-PR"/>
              </w:rPr>
            </w:pPr>
            <w:r w:rsidRPr="000B7074">
              <w:rPr>
                <w:rFonts w:ascii="Arial" w:hAnsi="Arial" w:cs="Arial"/>
                <w:b/>
                <w:color w:val="FFFFFF"/>
                <w:sz w:val="18"/>
                <w:lang w:val="es-PR"/>
              </w:rPr>
              <w:t>Total</w:t>
            </w:r>
          </w:p>
        </w:tc>
      </w:tr>
      <w:tr w:rsidR="00E13AA4" w:rsidRPr="00E13AA4" w:rsidTr="009D2241">
        <w:trPr>
          <w:trHeight w:val="324"/>
        </w:trPr>
        <w:tc>
          <w:tcPr>
            <w:tcW w:w="4320" w:type="dxa"/>
            <w:shd w:val="clear" w:color="auto" w:fill="D9D9D9"/>
            <w:vAlign w:val="bottom"/>
          </w:tcPr>
          <w:p w:rsidR="00E13AA4" w:rsidRPr="00E13AA4" w:rsidRDefault="00E13AA4">
            <w:pPr>
              <w:spacing w:line="276" w:lineRule="auto"/>
              <w:rPr>
                <w:rFonts w:ascii="Arial" w:hAnsi="Arial" w:cs="Arial"/>
                <w:lang w:val="es-PR"/>
              </w:rPr>
            </w:pPr>
            <w:r w:rsidRPr="00E13AA4">
              <w:rPr>
                <w:rFonts w:ascii="Arial" w:hAnsi="Arial" w:cs="Arial"/>
                <w:lang w:val="es-PR"/>
              </w:rPr>
              <w:t xml:space="preserve">Instituciones Correccionales </w:t>
            </w:r>
          </w:p>
        </w:tc>
        <w:tc>
          <w:tcPr>
            <w:tcW w:w="126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$1,383,124</w:t>
            </w:r>
          </w:p>
        </w:tc>
        <w:tc>
          <w:tcPr>
            <w:tcW w:w="72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12%</w:t>
            </w:r>
          </w:p>
        </w:tc>
        <w:tc>
          <w:tcPr>
            <w:tcW w:w="126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$165,974</w:t>
            </w:r>
          </w:p>
        </w:tc>
        <w:tc>
          <w:tcPr>
            <w:tcW w:w="135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$94,691</w:t>
            </w:r>
          </w:p>
        </w:tc>
        <w:tc>
          <w:tcPr>
            <w:tcW w:w="117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$1,643,791</w:t>
            </w:r>
          </w:p>
        </w:tc>
      </w:tr>
      <w:tr w:rsidR="00E13AA4" w:rsidRPr="00E13AA4" w:rsidTr="009D2241">
        <w:trPr>
          <w:trHeight w:val="324"/>
        </w:trPr>
        <w:tc>
          <w:tcPr>
            <w:tcW w:w="4320" w:type="dxa"/>
            <w:vAlign w:val="bottom"/>
          </w:tcPr>
          <w:p w:rsidR="00E13AA4" w:rsidRPr="00E13AA4" w:rsidRDefault="00E13AA4">
            <w:pPr>
              <w:spacing w:line="276" w:lineRule="auto"/>
              <w:rPr>
                <w:rFonts w:ascii="Arial" w:hAnsi="Arial" w:cs="Arial"/>
                <w:lang w:val="es-PR"/>
              </w:rPr>
            </w:pPr>
            <w:r w:rsidRPr="00E13AA4">
              <w:rPr>
                <w:rFonts w:ascii="Arial" w:hAnsi="Arial" w:cs="Arial"/>
                <w:lang w:val="es-PR"/>
              </w:rPr>
              <w:lastRenderedPageBreak/>
              <w:t>Sistema de Transporte Colectivo Caguas-</w:t>
            </w:r>
            <w:r>
              <w:rPr>
                <w:rFonts w:ascii="Arial" w:hAnsi="Arial" w:cs="Arial"/>
                <w:lang w:val="es-PR"/>
              </w:rPr>
              <w:t>SJ</w:t>
            </w:r>
          </w:p>
        </w:tc>
        <w:tc>
          <w:tcPr>
            <w:tcW w:w="1260" w:type="dxa"/>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$5,907,232</w:t>
            </w:r>
          </w:p>
        </w:tc>
        <w:tc>
          <w:tcPr>
            <w:tcW w:w="720" w:type="dxa"/>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8%</w:t>
            </w:r>
          </w:p>
        </w:tc>
        <w:tc>
          <w:tcPr>
            <w:tcW w:w="1260" w:type="dxa"/>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$472,579</w:t>
            </w:r>
          </w:p>
        </w:tc>
        <w:tc>
          <w:tcPr>
            <w:tcW w:w="1350" w:type="dxa"/>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$354,434</w:t>
            </w:r>
          </w:p>
        </w:tc>
        <w:tc>
          <w:tcPr>
            <w:tcW w:w="1170" w:type="dxa"/>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$6,734,245</w:t>
            </w:r>
          </w:p>
        </w:tc>
      </w:tr>
      <w:tr w:rsidR="00E13AA4" w:rsidRPr="00E13AA4" w:rsidTr="009D2241">
        <w:trPr>
          <w:trHeight w:val="324"/>
        </w:trPr>
        <w:tc>
          <w:tcPr>
            <w:tcW w:w="4320" w:type="dxa"/>
            <w:shd w:val="clear" w:color="auto" w:fill="D9D9D9"/>
            <w:vAlign w:val="bottom"/>
          </w:tcPr>
          <w:p w:rsidR="00E13AA4" w:rsidRPr="00E13AA4" w:rsidRDefault="00E13AA4" w:rsidP="00E13AA4">
            <w:pPr>
              <w:spacing w:line="276" w:lineRule="auto"/>
              <w:rPr>
                <w:rFonts w:ascii="Arial" w:hAnsi="Arial" w:cs="Arial"/>
                <w:lang w:val="es-PR"/>
              </w:rPr>
            </w:pPr>
            <w:r w:rsidRPr="00E13AA4">
              <w:rPr>
                <w:rFonts w:ascii="Arial" w:hAnsi="Arial" w:cs="Arial"/>
                <w:lang w:val="es-PR"/>
              </w:rPr>
              <w:t>Conversión a Gas Natural Plantas AEE</w:t>
            </w:r>
          </w:p>
        </w:tc>
        <w:tc>
          <w:tcPr>
            <w:tcW w:w="126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$345,798</w:t>
            </w:r>
          </w:p>
        </w:tc>
        <w:tc>
          <w:tcPr>
            <w:tcW w:w="72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12%</w:t>
            </w:r>
          </w:p>
        </w:tc>
        <w:tc>
          <w:tcPr>
            <w:tcW w:w="126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$41,496</w:t>
            </w:r>
          </w:p>
        </w:tc>
        <w:tc>
          <w:tcPr>
            <w:tcW w:w="135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$20,748</w:t>
            </w:r>
          </w:p>
        </w:tc>
        <w:tc>
          <w:tcPr>
            <w:tcW w:w="117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$408,042</w:t>
            </w:r>
          </w:p>
        </w:tc>
      </w:tr>
      <w:tr w:rsidR="00E13AA4" w:rsidRPr="00E13AA4" w:rsidTr="009D2241">
        <w:trPr>
          <w:trHeight w:val="324"/>
        </w:trPr>
        <w:tc>
          <w:tcPr>
            <w:tcW w:w="4320" w:type="dxa"/>
            <w:shd w:val="clear" w:color="auto" w:fill="auto"/>
            <w:vAlign w:val="bottom"/>
          </w:tcPr>
          <w:p w:rsidR="00E13AA4" w:rsidRPr="00E13AA4" w:rsidRDefault="00E13AA4" w:rsidP="00E13AA4">
            <w:pPr>
              <w:spacing w:line="276" w:lineRule="auto"/>
              <w:rPr>
                <w:rFonts w:ascii="Arial" w:hAnsi="Arial" w:cs="Arial"/>
                <w:lang w:val="es-PR"/>
              </w:rPr>
            </w:pPr>
            <w:r w:rsidRPr="00E13AA4">
              <w:rPr>
                <w:rFonts w:ascii="Arial" w:hAnsi="Arial" w:cs="Arial"/>
                <w:lang w:val="es-PR"/>
              </w:rPr>
              <w:t>Concesión de Autopista</w:t>
            </w:r>
          </w:p>
        </w:tc>
        <w:tc>
          <w:tcPr>
            <w:tcW w:w="1260" w:type="dxa"/>
            <w:shd w:val="clear" w:color="auto" w:fill="auto"/>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$270,471</w:t>
            </w:r>
          </w:p>
        </w:tc>
        <w:tc>
          <w:tcPr>
            <w:tcW w:w="720" w:type="dxa"/>
            <w:shd w:val="clear" w:color="auto" w:fill="auto"/>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15%</w:t>
            </w:r>
          </w:p>
        </w:tc>
        <w:tc>
          <w:tcPr>
            <w:tcW w:w="1260" w:type="dxa"/>
            <w:shd w:val="clear" w:color="auto" w:fill="auto"/>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$40,570</w:t>
            </w:r>
          </w:p>
        </w:tc>
        <w:tc>
          <w:tcPr>
            <w:tcW w:w="1350" w:type="dxa"/>
            <w:shd w:val="clear" w:color="auto" w:fill="auto"/>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$16,228</w:t>
            </w:r>
          </w:p>
        </w:tc>
        <w:tc>
          <w:tcPr>
            <w:tcW w:w="1170" w:type="dxa"/>
            <w:shd w:val="clear" w:color="auto" w:fill="auto"/>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327,215</w:t>
            </w:r>
          </w:p>
        </w:tc>
      </w:tr>
      <w:tr w:rsidR="00E13AA4" w:rsidRPr="00E13AA4" w:rsidTr="009D2241">
        <w:trPr>
          <w:trHeight w:val="324"/>
        </w:trPr>
        <w:tc>
          <w:tcPr>
            <w:tcW w:w="4320" w:type="dxa"/>
            <w:shd w:val="clear" w:color="auto" w:fill="D9D9D9"/>
            <w:vAlign w:val="bottom"/>
          </w:tcPr>
          <w:p w:rsidR="00E13AA4" w:rsidRPr="00E13AA4" w:rsidRDefault="00E13AA4" w:rsidP="00E13AA4">
            <w:pPr>
              <w:spacing w:line="276" w:lineRule="auto"/>
              <w:rPr>
                <w:rFonts w:ascii="Arial" w:hAnsi="Arial" w:cs="Arial"/>
                <w:lang w:val="es-PR"/>
              </w:rPr>
            </w:pPr>
            <w:r w:rsidRPr="00E13AA4">
              <w:rPr>
                <w:rFonts w:ascii="Arial" w:hAnsi="Arial" w:cs="Arial"/>
                <w:lang w:val="es-PR"/>
              </w:rPr>
              <w:t>Concesión Transporte Marítimo</w:t>
            </w:r>
          </w:p>
        </w:tc>
        <w:tc>
          <w:tcPr>
            <w:tcW w:w="126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$690,356</w:t>
            </w:r>
          </w:p>
        </w:tc>
        <w:tc>
          <w:tcPr>
            <w:tcW w:w="72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12%</w:t>
            </w:r>
          </w:p>
        </w:tc>
        <w:tc>
          <w:tcPr>
            <w:tcW w:w="126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$82,843</w:t>
            </w:r>
          </w:p>
        </w:tc>
        <w:tc>
          <w:tcPr>
            <w:tcW w:w="135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$0</w:t>
            </w:r>
          </w:p>
        </w:tc>
        <w:tc>
          <w:tcPr>
            <w:tcW w:w="1170" w:type="dxa"/>
            <w:shd w:val="clear" w:color="auto" w:fill="D9D9D9"/>
            <w:vAlign w:val="bottom"/>
          </w:tcPr>
          <w:p w:rsidR="00E13AA4" w:rsidRPr="000B7074" w:rsidRDefault="00E13AA4" w:rsidP="00E13AA4">
            <w:pPr>
              <w:spacing w:line="276" w:lineRule="auto"/>
              <w:jc w:val="right"/>
              <w:rPr>
                <w:rFonts w:ascii="Arial" w:hAnsi="Arial" w:cs="Arial"/>
                <w:sz w:val="18"/>
                <w:lang w:val="es-PR"/>
              </w:rPr>
            </w:pPr>
            <w:r w:rsidRPr="000B7074">
              <w:rPr>
                <w:rFonts w:ascii="Arial" w:hAnsi="Arial" w:cs="Arial"/>
                <w:sz w:val="18"/>
                <w:lang w:val="es-PR"/>
              </w:rPr>
              <w:t>$773,199</w:t>
            </w:r>
          </w:p>
        </w:tc>
      </w:tr>
      <w:tr w:rsidR="00B02879" w:rsidRPr="00E13AA4" w:rsidTr="009D2241">
        <w:trPr>
          <w:trHeight w:val="324"/>
        </w:trPr>
        <w:tc>
          <w:tcPr>
            <w:tcW w:w="7560" w:type="dxa"/>
            <w:gridSpan w:val="4"/>
            <w:shd w:val="clear" w:color="auto" w:fill="auto"/>
            <w:vAlign w:val="bottom"/>
          </w:tcPr>
          <w:p w:rsidR="00B02879" w:rsidRPr="000B7074" w:rsidRDefault="00B02879" w:rsidP="00E13AA4">
            <w:pPr>
              <w:spacing w:line="276" w:lineRule="auto"/>
              <w:jc w:val="right"/>
              <w:rPr>
                <w:rFonts w:ascii="Arial" w:hAnsi="Arial" w:cs="Arial"/>
                <w:sz w:val="18"/>
                <w:lang w:val="es-PR"/>
              </w:rPr>
            </w:pPr>
          </w:p>
        </w:tc>
        <w:tc>
          <w:tcPr>
            <w:tcW w:w="1350" w:type="dxa"/>
            <w:shd w:val="clear" w:color="auto" w:fill="auto"/>
            <w:vAlign w:val="bottom"/>
          </w:tcPr>
          <w:p w:rsidR="00B02879" w:rsidRPr="000B7074" w:rsidRDefault="00B02879" w:rsidP="00E13AA4">
            <w:pPr>
              <w:spacing w:line="276" w:lineRule="auto"/>
              <w:jc w:val="right"/>
              <w:rPr>
                <w:rFonts w:ascii="Arial" w:hAnsi="Arial" w:cs="Arial"/>
                <w:b/>
                <w:sz w:val="18"/>
                <w:lang w:val="es-PR"/>
              </w:rPr>
            </w:pPr>
            <w:r w:rsidRPr="000B7074">
              <w:rPr>
                <w:rFonts w:ascii="Arial" w:hAnsi="Arial" w:cs="Arial"/>
                <w:b/>
                <w:sz w:val="18"/>
                <w:lang w:val="es-PR"/>
              </w:rPr>
              <w:t>TOTAL</w:t>
            </w:r>
          </w:p>
        </w:tc>
        <w:tc>
          <w:tcPr>
            <w:tcW w:w="1170" w:type="dxa"/>
            <w:shd w:val="clear" w:color="auto" w:fill="auto"/>
            <w:vAlign w:val="bottom"/>
          </w:tcPr>
          <w:p w:rsidR="00B02879" w:rsidRPr="000B7074" w:rsidRDefault="00B02879" w:rsidP="00E13AA4">
            <w:pPr>
              <w:spacing w:line="276" w:lineRule="auto"/>
              <w:jc w:val="right"/>
              <w:rPr>
                <w:rFonts w:ascii="Arial" w:hAnsi="Arial" w:cs="Arial"/>
                <w:sz w:val="18"/>
                <w:lang w:val="es-PR"/>
              </w:rPr>
            </w:pPr>
            <w:r w:rsidRPr="000B7074">
              <w:rPr>
                <w:rFonts w:ascii="Arial" w:hAnsi="Arial" w:cs="Arial"/>
                <w:sz w:val="18"/>
                <w:lang w:val="es-PR"/>
              </w:rPr>
              <w:t>$9,886,492</w:t>
            </w:r>
          </w:p>
        </w:tc>
      </w:tr>
    </w:tbl>
    <w:p w:rsidR="00E13AA4" w:rsidRPr="000B7074" w:rsidRDefault="00E13AA4" w:rsidP="000B7074">
      <w:pPr>
        <w:spacing w:after="0" w:line="240" w:lineRule="auto"/>
        <w:ind w:left="180"/>
        <w:rPr>
          <w:rFonts w:ascii="Arial" w:hAnsi="Arial" w:cs="Arial"/>
          <w:sz w:val="16"/>
          <w:lang w:val="es-US"/>
        </w:rPr>
      </w:pPr>
      <w:r w:rsidRPr="000B7074">
        <w:rPr>
          <w:rFonts w:ascii="Arial" w:hAnsi="Arial" w:cs="Arial"/>
          <w:sz w:val="16"/>
          <w:lang w:val="es-US"/>
        </w:rPr>
        <w:t>Notas:</w:t>
      </w:r>
    </w:p>
    <w:p w:rsidR="00E13AA4" w:rsidRPr="000B7074" w:rsidRDefault="00E13AA4" w:rsidP="000B7074">
      <w:pPr>
        <w:numPr>
          <w:ilvl w:val="0"/>
          <w:numId w:val="12"/>
        </w:numPr>
        <w:spacing w:after="0" w:line="240" w:lineRule="auto"/>
        <w:contextualSpacing/>
        <w:rPr>
          <w:rFonts w:ascii="Arial" w:hAnsi="Arial" w:cs="Arial"/>
          <w:sz w:val="16"/>
          <w:lang w:val="es-US"/>
        </w:rPr>
      </w:pPr>
      <w:r w:rsidRPr="000B7074">
        <w:rPr>
          <w:rFonts w:ascii="Arial" w:hAnsi="Arial" w:cs="Arial"/>
          <w:sz w:val="16"/>
          <w:lang w:val="es-US"/>
        </w:rPr>
        <w:t>Estimado de intereses son a base de una tasa de interés fija de 6% anual</w:t>
      </w:r>
    </w:p>
    <w:p w:rsidR="00E13AA4" w:rsidRPr="000B7074" w:rsidRDefault="00E13AA4" w:rsidP="000B7074">
      <w:pPr>
        <w:numPr>
          <w:ilvl w:val="0"/>
          <w:numId w:val="12"/>
        </w:numPr>
        <w:spacing w:after="0" w:line="240" w:lineRule="auto"/>
        <w:contextualSpacing/>
        <w:rPr>
          <w:rFonts w:ascii="Arial" w:hAnsi="Arial" w:cs="Arial"/>
          <w:sz w:val="16"/>
          <w:lang w:val="es-US"/>
        </w:rPr>
      </w:pPr>
      <w:r w:rsidRPr="000B7074">
        <w:rPr>
          <w:rFonts w:ascii="Arial" w:hAnsi="Arial" w:cs="Arial"/>
          <w:sz w:val="16"/>
          <w:lang w:val="es-US"/>
        </w:rPr>
        <w:t>Por ciento de cargos por servicio según acordado con la entidad gubernamental participante</w:t>
      </w:r>
    </w:p>
    <w:p w:rsidR="00E13AA4" w:rsidRPr="000B7074" w:rsidRDefault="00E13AA4" w:rsidP="000B7074">
      <w:pPr>
        <w:numPr>
          <w:ilvl w:val="0"/>
          <w:numId w:val="12"/>
        </w:numPr>
        <w:spacing w:after="0" w:line="240" w:lineRule="auto"/>
        <w:contextualSpacing/>
        <w:rPr>
          <w:rFonts w:ascii="Arial" w:hAnsi="Arial" w:cs="Arial"/>
          <w:sz w:val="16"/>
          <w:lang w:val="es-US"/>
        </w:rPr>
      </w:pPr>
      <w:r w:rsidRPr="000B7074">
        <w:rPr>
          <w:rFonts w:ascii="Arial" w:hAnsi="Arial" w:cs="Arial"/>
          <w:sz w:val="16"/>
          <w:lang w:val="es-US"/>
        </w:rPr>
        <w:t>Gastos acumulados al 31 de agosto de 2016</w:t>
      </w:r>
    </w:p>
    <w:p w:rsidR="00E13AA4" w:rsidRPr="00E13AA4" w:rsidRDefault="00E13AA4" w:rsidP="000B7074">
      <w:pPr>
        <w:numPr>
          <w:ilvl w:val="0"/>
          <w:numId w:val="12"/>
        </w:numPr>
        <w:spacing w:after="0" w:line="240" w:lineRule="auto"/>
        <w:contextualSpacing/>
        <w:rPr>
          <w:lang w:val="es-US"/>
        </w:rPr>
      </w:pPr>
      <w:r w:rsidRPr="000B7074">
        <w:rPr>
          <w:rFonts w:ascii="Arial" w:hAnsi="Arial" w:cs="Arial"/>
          <w:sz w:val="16"/>
          <w:lang w:val="es-US"/>
        </w:rPr>
        <w:t xml:space="preserve">Proyecto de Concesión de Transporte Marítimo no refleja gastos de interés porque es un proyecto de menor escala y se utilizan los fondos asignados para este tipo de proyecto </w:t>
      </w:r>
    </w:p>
    <w:p w:rsidR="00E13AA4" w:rsidRDefault="00E13AA4" w:rsidP="00E13AA4">
      <w:pPr>
        <w:rPr>
          <w:lang w:val="es-US"/>
        </w:rPr>
      </w:pPr>
    </w:p>
    <w:p w:rsidR="00E13AA4" w:rsidRPr="000B7074" w:rsidRDefault="00B02879" w:rsidP="00E13AA4">
      <w:pPr>
        <w:rPr>
          <w:rFonts w:ascii="Arial" w:hAnsi="Arial" w:cs="Arial"/>
          <w:b/>
          <w:lang w:val="es-US"/>
        </w:rPr>
      </w:pPr>
      <w:r w:rsidRPr="000B7074">
        <w:rPr>
          <w:rFonts w:ascii="Arial" w:hAnsi="Arial" w:cs="Arial"/>
          <w:b/>
          <w:lang w:val="es-US"/>
        </w:rPr>
        <w:t>ANEJO B</w:t>
      </w:r>
    </w:p>
    <w:p w:rsidR="00E13AA4" w:rsidRPr="00E13AA4" w:rsidRDefault="00E13AA4" w:rsidP="00E13AA4">
      <w:pPr>
        <w:rPr>
          <w:lang w:val="es-US"/>
        </w:rPr>
      </w:pPr>
    </w:p>
    <w:tbl>
      <w:tblPr>
        <w:tblW w:w="10345" w:type="dxa"/>
        <w:tblInd w:w="90" w:type="dxa"/>
        <w:tblCellMar>
          <w:left w:w="70" w:type="dxa"/>
          <w:right w:w="70" w:type="dxa"/>
        </w:tblCellMar>
        <w:tblLook w:val="04A0" w:firstRow="1" w:lastRow="0" w:firstColumn="1" w:lastColumn="0" w:noHBand="0" w:noVBand="1"/>
      </w:tblPr>
      <w:tblGrid>
        <w:gridCol w:w="1419"/>
        <w:gridCol w:w="2266"/>
        <w:gridCol w:w="1350"/>
        <w:gridCol w:w="1350"/>
        <w:gridCol w:w="1800"/>
        <w:gridCol w:w="2160"/>
      </w:tblGrid>
      <w:tr w:rsidR="00B02879" w:rsidRPr="005030AE" w:rsidTr="000B7074">
        <w:trPr>
          <w:trHeight w:val="368"/>
        </w:trPr>
        <w:tc>
          <w:tcPr>
            <w:tcW w:w="10345" w:type="dxa"/>
            <w:gridSpan w:val="6"/>
            <w:tcBorders>
              <w:top w:val="single" w:sz="4" w:space="0" w:color="auto"/>
              <w:left w:val="single" w:sz="4" w:space="0" w:color="auto"/>
              <w:bottom w:val="single" w:sz="4" w:space="0" w:color="auto"/>
              <w:right w:val="single" w:sz="4" w:space="0" w:color="auto"/>
            </w:tcBorders>
            <w:shd w:val="clear" w:color="auto" w:fill="D9C19B"/>
            <w:vAlign w:val="center"/>
          </w:tcPr>
          <w:p w:rsidR="00B02879" w:rsidRPr="000B7074" w:rsidRDefault="00B02879" w:rsidP="000B7074">
            <w:pPr>
              <w:spacing w:after="0" w:line="276" w:lineRule="auto"/>
              <w:jc w:val="center"/>
              <w:rPr>
                <w:rFonts w:ascii="Arial" w:eastAsia="Times New Roman" w:hAnsi="Arial" w:cs="Arial"/>
                <w:b/>
                <w:bCs/>
                <w:sz w:val="18"/>
                <w:szCs w:val="20"/>
                <w:lang w:val="es-PR" w:eastAsia="es-PR"/>
              </w:rPr>
            </w:pPr>
            <w:r w:rsidRPr="000B7074">
              <w:rPr>
                <w:rFonts w:ascii="Arial" w:eastAsia="Times New Roman" w:hAnsi="Arial" w:cs="Arial"/>
                <w:b/>
                <w:bCs/>
                <w:sz w:val="18"/>
                <w:szCs w:val="20"/>
                <w:lang w:val="es-PR" w:eastAsia="es-PR"/>
              </w:rPr>
              <w:t>RESUMEN DE CONTRATOS POR SERVICIOS PROFESIONALES Y COMPRADOS (AÑO FISCAL 2017 - IQ)</w:t>
            </w:r>
          </w:p>
        </w:tc>
      </w:tr>
      <w:tr w:rsidR="00B02879" w:rsidRPr="00E13AA4" w:rsidTr="000B7074">
        <w:trPr>
          <w:trHeight w:val="1007"/>
        </w:trPr>
        <w:tc>
          <w:tcPr>
            <w:tcW w:w="1419"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13AA4" w:rsidRPr="000B7074" w:rsidRDefault="00E13AA4" w:rsidP="00E13AA4">
            <w:pPr>
              <w:spacing w:after="0" w:line="240" w:lineRule="auto"/>
              <w:jc w:val="center"/>
              <w:rPr>
                <w:rFonts w:ascii="Arial" w:eastAsia="Times New Roman" w:hAnsi="Arial" w:cs="Arial"/>
                <w:b/>
                <w:bCs/>
                <w:color w:val="FFFFFF"/>
                <w:sz w:val="18"/>
                <w:szCs w:val="18"/>
                <w:lang w:val="es-US" w:eastAsia="es-US"/>
              </w:rPr>
            </w:pPr>
            <w:r w:rsidRPr="000B7074">
              <w:rPr>
                <w:rFonts w:ascii="Arial" w:eastAsia="Times New Roman" w:hAnsi="Arial" w:cs="Arial"/>
                <w:b/>
                <w:bCs/>
                <w:color w:val="FFFFFF"/>
                <w:sz w:val="18"/>
                <w:szCs w:val="18"/>
                <w:lang w:val="es-US" w:eastAsia="es-US"/>
              </w:rPr>
              <w:t>Número de Contrato</w:t>
            </w:r>
          </w:p>
        </w:tc>
        <w:tc>
          <w:tcPr>
            <w:tcW w:w="2266" w:type="dxa"/>
            <w:tcBorders>
              <w:top w:val="single" w:sz="4" w:space="0" w:color="auto"/>
              <w:left w:val="nil"/>
              <w:bottom w:val="single" w:sz="4" w:space="0" w:color="auto"/>
              <w:right w:val="single" w:sz="4" w:space="0" w:color="auto"/>
            </w:tcBorders>
            <w:shd w:val="clear" w:color="auto" w:fill="A6A6A6"/>
            <w:vAlign w:val="center"/>
            <w:hideMark/>
          </w:tcPr>
          <w:p w:rsidR="00E13AA4" w:rsidRPr="000B7074" w:rsidRDefault="00E13AA4" w:rsidP="00E13AA4">
            <w:pPr>
              <w:spacing w:after="0" w:line="240" w:lineRule="auto"/>
              <w:jc w:val="center"/>
              <w:rPr>
                <w:rFonts w:ascii="Arial" w:eastAsia="Times New Roman" w:hAnsi="Arial" w:cs="Arial"/>
                <w:b/>
                <w:bCs/>
                <w:color w:val="FFFFFF"/>
                <w:sz w:val="18"/>
                <w:szCs w:val="18"/>
                <w:lang w:val="es-US" w:eastAsia="es-US"/>
              </w:rPr>
            </w:pPr>
            <w:r w:rsidRPr="000B7074">
              <w:rPr>
                <w:rFonts w:ascii="Arial" w:eastAsia="Times New Roman" w:hAnsi="Arial" w:cs="Arial"/>
                <w:b/>
                <w:bCs/>
                <w:color w:val="FFFFFF"/>
                <w:sz w:val="18"/>
                <w:szCs w:val="18"/>
                <w:lang w:val="es-US" w:eastAsia="es-US"/>
              </w:rPr>
              <w:t>Contratista</w:t>
            </w:r>
          </w:p>
        </w:tc>
        <w:tc>
          <w:tcPr>
            <w:tcW w:w="1350" w:type="dxa"/>
            <w:tcBorders>
              <w:top w:val="single" w:sz="4" w:space="0" w:color="auto"/>
              <w:left w:val="nil"/>
              <w:bottom w:val="single" w:sz="4" w:space="0" w:color="auto"/>
              <w:right w:val="single" w:sz="4" w:space="0" w:color="auto"/>
            </w:tcBorders>
            <w:shd w:val="clear" w:color="auto" w:fill="A6A6A6"/>
            <w:vAlign w:val="center"/>
            <w:hideMark/>
          </w:tcPr>
          <w:p w:rsidR="00E13AA4" w:rsidRPr="000B7074" w:rsidRDefault="00E13AA4" w:rsidP="00E13AA4">
            <w:pPr>
              <w:spacing w:after="0" w:line="240" w:lineRule="auto"/>
              <w:jc w:val="center"/>
              <w:rPr>
                <w:rFonts w:ascii="Arial" w:eastAsia="Times New Roman" w:hAnsi="Arial" w:cs="Arial"/>
                <w:b/>
                <w:bCs/>
                <w:color w:val="FFFFFF"/>
                <w:sz w:val="18"/>
                <w:szCs w:val="18"/>
                <w:lang w:val="es-US" w:eastAsia="es-US"/>
              </w:rPr>
            </w:pPr>
            <w:r w:rsidRPr="000B7074">
              <w:rPr>
                <w:rFonts w:ascii="Arial" w:eastAsia="Times New Roman" w:hAnsi="Arial" w:cs="Arial"/>
                <w:b/>
                <w:bCs/>
                <w:color w:val="FFFFFF"/>
                <w:sz w:val="18"/>
                <w:szCs w:val="18"/>
                <w:lang w:val="es-US" w:eastAsia="es-US"/>
              </w:rPr>
              <w:t xml:space="preserve">Fecha de Inicio </w:t>
            </w:r>
            <w:r w:rsidRPr="000B7074">
              <w:rPr>
                <w:rFonts w:ascii="Arial" w:eastAsia="Times New Roman" w:hAnsi="Arial" w:cs="Arial"/>
                <w:b/>
                <w:bCs/>
                <w:color w:val="FFFFFF"/>
                <w:sz w:val="16"/>
                <w:szCs w:val="18"/>
                <w:lang w:val="es-US" w:eastAsia="es-US"/>
              </w:rPr>
              <w:t>(mes/día/año)</w:t>
            </w:r>
          </w:p>
        </w:tc>
        <w:tc>
          <w:tcPr>
            <w:tcW w:w="1350" w:type="dxa"/>
            <w:tcBorders>
              <w:top w:val="single" w:sz="4" w:space="0" w:color="auto"/>
              <w:left w:val="nil"/>
              <w:bottom w:val="single" w:sz="4" w:space="0" w:color="auto"/>
              <w:right w:val="single" w:sz="4" w:space="0" w:color="auto"/>
            </w:tcBorders>
            <w:shd w:val="clear" w:color="auto" w:fill="A6A6A6"/>
            <w:vAlign w:val="center"/>
            <w:hideMark/>
          </w:tcPr>
          <w:p w:rsidR="00E13AA4" w:rsidRPr="000B7074" w:rsidRDefault="00E13AA4" w:rsidP="00E13AA4">
            <w:pPr>
              <w:spacing w:after="0" w:line="240" w:lineRule="auto"/>
              <w:jc w:val="center"/>
              <w:rPr>
                <w:rFonts w:ascii="Arial" w:eastAsia="Times New Roman" w:hAnsi="Arial" w:cs="Arial"/>
                <w:b/>
                <w:bCs/>
                <w:color w:val="FFFFFF"/>
                <w:sz w:val="18"/>
                <w:szCs w:val="18"/>
                <w:lang w:val="es-US" w:eastAsia="es-US"/>
              </w:rPr>
            </w:pPr>
            <w:r w:rsidRPr="000B7074">
              <w:rPr>
                <w:rFonts w:ascii="Arial" w:eastAsia="Times New Roman" w:hAnsi="Arial" w:cs="Arial"/>
                <w:b/>
                <w:bCs/>
                <w:color w:val="FFFFFF"/>
                <w:sz w:val="18"/>
                <w:szCs w:val="18"/>
                <w:lang w:val="es-US" w:eastAsia="es-US"/>
              </w:rPr>
              <w:t xml:space="preserve">Fecha de Terminación </w:t>
            </w:r>
            <w:r w:rsidRPr="000B7074">
              <w:rPr>
                <w:rFonts w:ascii="Arial" w:eastAsia="Times New Roman" w:hAnsi="Arial" w:cs="Arial"/>
                <w:b/>
                <w:bCs/>
                <w:color w:val="FFFFFF"/>
                <w:sz w:val="16"/>
                <w:szCs w:val="18"/>
                <w:lang w:val="es-US" w:eastAsia="es-US"/>
              </w:rPr>
              <w:t>(mes/día/año)</w:t>
            </w:r>
          </w:p>
        </w:tc>
        <w:tc>
          <w:tcPr>
            <w:tcW w:w="1800" w:type="dxa"/>
            <w:tcBorders>
              <w:top w:val="single" w:sz="4" w:space="0" w:color="auto"/>
              <w:left w:val="nil"/>
              <w:bottom w:val="single" w:sz="4" w:space="0" w:color="auto"/>
              <w:right w:val="single" w:sz="4" w:space="0" w:color="auto"/>
            </w:tcBorders>
            <w:shd w:val="clear" w:color="auto" w:fill="A6A6A6"/>
            <w:vAlign w:val="center"/>
            <w:hideMark/>
          </w:tcPr>
          <w:p w:rsidR="00E13AA4" w:rsidRPr="000B7074" w:rsidRDefault="00E13AA4">
            <w:pPr>
              <w:spacing w:after="0" w:line="240" w:lineRule="auto"/>
              <w:jc w:val="center"/>
              <w:rPr>
                <w:rFonts w:ascii="Arial" w:eastAsia="Times New Roman" w:hAnsi="Arial" w:cs="Arial"/>
                <w:b/>
                <w:bCs/>
                <w:color w:val="FFFFFF"/>
                <w:sz w:val="18"/>
                <w:szCs w:val="18"/>
                <w:lang w:val="es-US" w:eastAsia="es-US"/>
              </w:rPr>
            </w:pPr>
            <w:r w:rsidRPr="000B7074">
              <w:rPr>
                <w:rFonts w:ascii="Arial" w:eastAsia="Times New Roman" w:hAnsi="Arial" w:cs="Arial"/>
                <w:b/>
                <w:bCs/>
                <w:color w:val="FFFFFF"/>
                <w:sz w:val="18"/>
                <w:szCs w:val="18"/>
                <w:lang w:val="es-US" w:eastAsia="es-US"/>
              </w:rPr>
              <w:t xml:space="preserve">Monto total del </w:t>
            </w:r>
            <w:r w:rsidR="008526FD">
              <w:rPr>
                <w:rFonts w:ascii="Arial" w:eastAsia="Times New Roman" w:hAnsi="Arial" w:cs="Arial"/>
                <w:b/>
                <w:bCs/>
                <w:color w:val="FFFFFF"/>
                <w:sz w:val="18"/>
                <w:szCs w:val="18"/>
                <w:lang w:val="es-US" w:eastAsia="es-US"/>
              </w:rPr>
              <w:t xml:space="preserve">contrato </w:t>
            </w:r>
            <w:r w:rsidR="008526FD" w:rsidRPr="000B7074">
              <w:rPr>
                <w:rFonts w:ascii="Arial" w:eastAsia="Times New Roman" w:hAnsi="Arial" w:cs="Arial"/>
                <w:b/>
                <w:bCs/>
                <w:color w:val="FFFFFF"/>
                <w:sz w:val="16"/>
                <w:szCs w:val="18"/>
                <w:lang w:val="es-US" w:eastAsia="es-US"/>
              </w:rPr>
              <w:t>(incluyendo enmiendas)</w:t>
            </w:r>
          </w:p>
        </w:tc>
        <w:tc>
          <w:tcPr>
            <w:tcW w:w="2160" w:type="dxa"/>
            <w:tcBorders>
              <w:top w:val="single" w:sz="4" w:space="0" w:color="auto"/>
              <w:left w:val="nil"/>
              <w:bottom w:val="single" w:sz="4" w:space="0" w:color="auto"/>
              <w:right w:val="single" w:sz="4" w:space="0" w:color="auto"/>
            </w:tcBorders>
            <w:shd w:val="clear" w:color="auto" w:fill="A6A6A6"/>
            <w:vAlign w:val="center"/>
            <w:hideMark/>
          </w:tcPr>
          <w:p w:rsidR="00E13AA4" w:rsidRPr="000B7074" w:rsidRDefault="00E13AA4" w:rsidP="00E13AA4">
            <w:pPr>
              <w:spacing w:after="0" w:line="240" w:lineRule="auto"/>
              <w:jc w:val="center"/>
              <w:rPr>
                <w:rFonts w:ascii="Arial" w:eastAsia="Times New Roman" w:hAnsi="Arial" w:cs="Arial"/>
                <w:b/>
                <w:bCs/>
                <w:color w:val="FFFFFF"/>
                <w:sz w:val="18"/>
                <w:szCs w:val="18"/>
                <w:lang w:val="es-US" w:eastAsia="es-US"/>
              </w:rPr>
            </w:pPr>
            <w:r w:rsidRPr="000B7074">
              <w:rPr>
                <w:rFonts w:ascii="Arial" w:eastAsia="Times New Roman" w:hAnsi="Arial" w:cs="Arial"/>
                <w:b/>
                <w:bCs/>
                <w:color w:val="FFFFFF"/>
                <w:sz w:val="18"/>
                <w:szCs w:val="18"/>
                <w:lang w:val="es-US" w:eastAsia="es-US"/>
              </w:rPr>
              <w:t>Tipo de servicio</w:t>
            </w:r>
          </w:p>
        </w:tc>
      </w:tr>
      <w:tr w:rsidR="00B02879" w:rsidRPr="005030AE" w:rsidTr="000B7074">
        <w:trPr>
          <w:trHeight w:val="150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2013-PPP001</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Autoridad para el Financiamiento de la Infraestructura</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7/7/2012</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6/30/2017</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      1,900,000.00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Realizar los estudios necesarios previos a comenzar el proceso de licitación a través de la modalidad de Alianza Público Privada</w:t>
            </w:r>
          </w:p>
        </w:tc>
      </w:tr>
      <w:tr w:rsidR="00B02879" w:rsidRPr="005030AE" w:rsidTr="000B7074">
        <w:trPr>
          <w:trHeight w:val="52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2014-PPP008</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Steer Davies &amp; Gleave Limited</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12/18/2013</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12/31/2016</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731,930.00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Consultores técnicos proyecto de APP</w:t>
            </w:r>
          </w:p>
        </w:tc>
      </w:tr>
      <w:tr w:rsidR="00B02879" w:rsidRPr="005030AE" w:rsidTr="000B7074">
        <w:trPr>
          <w:trHeight w:val="103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2014-PPP009</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KPMG, LLP</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12/24/2013</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12/31/2016</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2,305,000.00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Consultores financieros proyecto de APP</w:t>
            </w:r>
          </w:p>
        </w:tc>
      </w:tr>
      <w:tr w:rsidR="00B02879" w:rsidRPr="00E13AA4" w:rsidTr="000B7074">
        <w:trPr>
          <w:trHeight w:val="73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lastRenderedPageBreak/>
              <w:t>2014-PPP015</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Autoridad para el Financiamiento de la Infraestructura</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4/22/2014</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4/30/2017</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8,400.00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Servicios de apoyo administrativo</w:t>
            </w:r>
          </w:p>
        </w:tc>
      </w:tr>
      <w:tr w:rsidR="00B02879" w:rsidRPr="00E13AA4" w:rsidTr="000B7074">
        <w:trPr>
          <w:trHeight w:val="73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2015-PPP001</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Banco Gubernamental de Fomento</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7/1/2014</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6/30/2017</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50,000.00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Servicios de apoyo administrativo</w:t>
            </w:r>
          </w:p>
        </w:tc>
      </w:tr>
      <w:tr w:rsidR="00B02879" w:rsidRPr="005030AE" w:rsidTr="000B7074">
        <w:trPr>
          <w:trHeight w:val="78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2015-PPP005</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Macquarie Capital</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12/17/2014</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12/31/2016</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4,435,000.00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Consultores financieros proyecto de APP</w:t>
            </w:r>
          </w:p>
        </w:tc>
      </w:tr>
      <w:tr w:rsidR="00B02879" w:rsidRPr="005030AE" w:rsidTr="000B7074">
        <w:trPr>
          <w:trHeight w:val="73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2015-PPP008</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8526FD">
            <w:pPr>
              <w:spacing w:after="0" w:line="240" w:lineRule="auto"/>
              <w:rPr>
                <w:rFonts w:ascii="Arial" w:eastAsia="Times New Roman" w:hAnsi="Arial" w:cs="Arial"/>
                <w:color w:val="000000"/>
                <w:sz w:val="18"/>
                <w:szCs w:val="18"/>
                <w:lang w:val="es-US" w:eastAsia="es-US"/>
              </w:rPr>
            </w:pPr>
            <w:r>
              <w:rPr>
                <w:rFonts w:ascii="Arial" w:eastAsia="Times New Roman" w:hAnsi="Arial" w:cs="Arial"/>
                <w:color w:val="000000"/>
                <w:sz w:val="18"/>
                <w:szCs w:val="18"/>
                <w:lang w:val="es-US" w:eastAsia="es-US"/>
              </w:rPr>
              <w:t>Pietrantoni, Mé</w:t>
            </w:r>
            <w:r w:rsidR="00E13AA4" w:rsidRPr="000B7074">
              <w:rPr>
                <w:rFonts w:ascii="Arial" w:eastAsia="Times New Roman" w:hAnsi="Arial" w:cs="Arial"/>
                <w:color w:val="000000"/>
                <w:sz w:val="18"/>
                <w:szCs w:val="18"/>
                <w:lang w:val="es-US" w:eastAsia="es-US"/>
              </w:rPr>
              <w:t>ndez y Álvarez</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5/5/2015</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6/30/2017</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300,000.00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Consultores legales para asuntos generales y proyectos de APP</w:t>
            </w:r>
          </w:p>
        </w:tc>
      </w:tr>
      <w:tr w:rsidR="00B02879" w:rsidRPr="005030AE" w:rsidTr="000B7074">
        <w:trPr>
          <w:trHeight w:val="52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2016-PPP003</w:t>
            </w:r>
          </w:p>
        </w:tc>
        <w:tc>
          <w:tcPr>
            <w:tcW w:w="2266"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Steer Davies &amp; Gleave Limited</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7/24/2015</w:t>
            </w:r>
          </w:p>
        </w:tc>
        <w:tc>
          <w:tcPr>
            <w:tcW w:w="135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6/30/2017</w:t>
            </w:r>
          </w:p>
        </w:tc>
        <w:tc>
          <w:tcPr>
            <w:tcW w:w="1800" w:type="dxa"/>
            <w:tcBorders>
              <w:top w:val="nil"/>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270,000.00</w:t>
            </w:r>
          </w:p>
        </w:tc>
        <w:tc>
          <w:tcPr>
            <w:tcW w:w="2160" w:type="dxa"/>
            <w:tcBorders>
              <w:top w:val="nil"/>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Consultores técnicos proyecto de APP</w:t>
            </w:r>
          </w:p>
        </w:tc>
      </w:tr>
      <w:tr w:rsidR="00B02879" w:rsidRPr="005030AE" w:rsidTr="000B7074">
        <w:trPr>
          <w:trHeight w:val="52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AA4" w:rsidRPr="000B7074" w:rsidRDefault="00E13AA4" w:rsidP="000B707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2016-PPP005</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KPMG, LLP</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8/19/2015</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13AA4" w:rsidRPr="000B7074" w:rsidRDefault="00E13AA4">
            <w:pPr>
              <w:spacing w:after="0" w:line="240" w:lineRule="auto"/>
              <w:jc w:val="center"/>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6/30/2017</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13AA4" w:rsidRPr="000B7074" w:rsidRDefault="00E13AA4" w:rsidP="000B707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793,600.00</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E13AA4" w:rsidRPr="000B7074" w:rsidRDefault="00E13AA4">
            <w:pPr>
              <w:spacing w:after="0" w:line="240" w:lineRule="auto"/>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t>Consultores financieros proyecto de APP</w:t>
            </w:r>
          </w:p>
        </w:tc>
      </w:tr>
      <w:tr w:rsidR="00B02879" w:rsidRPr="00E13AA4" w:rsidTr="000B7074">
        <w:trPr>
          <w:trHeight w:val="525"/>
        </w:trPr>
        <w:tc>
          <w:tcPr>
            <w:tcW w:w="63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13AA4" w:rsidRPr="000B7074" w:rsidRDefault="00E13AA4">
            <w:pPr>
              <w:spacing w:after="0" w:line="240" w:lineRule="auto"/>
              <w:jc w:val="right"/>
              <w:rPr>
                <w:rFonts w:ascii="Arial" w:eastAsia="Times New Roman" w:hAnsi="Arial" w:cs="Arial"/>
                <w:b/>
                <w:color w:val="000000"/>
                <w:sz w:val="18"/>
                <w:szCs w:val="18"/>
                <w:lang w:val="es-US" w:eastAsia="es-US"/>
              </w:rPr>
            </w:pPr>
            <w:r w:rsidRPr="000B7074">
              <w:rPr>
                <w:rFonts w:ascii="Arial" w:eastAsia="Times New Roman" w:hAnsi="Arial" w:cs="Arial"/>
                <w:b/>
                <w:color w:val="000000"/>
                <w:sz w:val="18"/>
                <w:szCs w:val="18"/>
                <w:lang w:val="es-US" w:eastAsia="es-US"/>
              </w:rPr>
              <w:t>Total de proyectos</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E13AA4" w:rsidRPr="000B7074" w:rsidRDefault="00E13AA4">
            <w:pPr>
              <w:spacing w:after="0" w:line="240" w:lineRule="auto"/>
              <w:jc w:val="right"/>
              <w:rPr>
                <w:rFonts w:ascii="Arial" w:eastAsia="Times New Roman" w:hAnsi="Arial" w:cs="Arial"/>
                <w:color w:val="000000"/>
                <w:sz w:val="18"/>
                <w:szCs w:val="18"/>
                <w:lang w:val="es-US" w:eastAsia="es-US"/>
              </w:rPr>
            </w:pPr>
            <w:r w:rsidRPr="000B7074">
              <w:rPr>
                <w:rFonts w:ascii="Arial" w:eastAsia="Times New Roman" w:hAnsi="Arial" w:cs="Arial"/>
                <w:color w:val="000000"/>
                <w:sz w:val="18"/>
                <w:szCs w:val="18"/>
                <w:lang w:val="es-US" w:eastAsia="es-US"/>
              </w:rPr>
              <w:fldChar w:fldCharType="begin"/>
            </w:r>
            <w:r w:rsidRPr="000B7074">
              <w:rPr>
                <w:rFonts w:ascii="Arial" w:eastAsia="Times New Roman" w:hAnsi="Arial" w:cs="Arial"/>
                <w:color w:val="000000"/>
                <w:sz w:val="18"/>
                <w:szCs w:val="18"/>
                <w:lang w:val="es-US" w:eastAsia="es-US"/>
              </w:rPr>
              <w:instrText xml:space="preserve"> =SUM(ABOVE) </w:instrText>
            </w:r>
            <w:r w:rsidRPr="000B7074">
              <w:rPr>
                <w:rFonts w:ascii="Arial" w:eastAsia="Times New Roman" w:hAnsi="Arial" w:cs="Arial"/>
                <w:color w:val="000000"/>
                <w:sz w:val="18"/>
                <w:szCs w:val="18"/>
                <w:lang w:val="es-US" w:eastAsia="es-US"/>
              </w:rPr>
              <w:fldChar w:fldCharType="separate"/>
            </w:r>
            <w:r w:rsidRPr="000B7074">
              <w:rPr>
                <w:rFonts w:ascii="Arial" w:eastAsia="Times New Roman" w:hAnsi="Arial" w:cs="Arial"/>
                <w:noProof/>
                <w:color w:val="000000"/>
                <w:sz w:val="18"/>
                <w:szCs w:val="18"/>
                <w:lang w:val="es-US" w:eastAsia="es-US"/>
              </w:rPr>
              <w:t>$10,793,930.00</w:t>
            </w:r>
            <w:r w:rsidRPr="000B7074">
              <w:rPr>
                <w:rFonts w:ascii="Arial" w:eastAsia="Times New Roman" w:hAnsi="Arial" w:cs="Arial"/>
                <w:color w:val="000000"/>
                <w:sz w:val="18"/>
                <w:szCs w:val="18"/>
                <w:lang w:val="es-US" w:eastAsia="es-US"/>
              </w:rPr>
              <w:fldChar w:fldCharType="end"/>
            </w:r>
          </w:p>
        </w:tc>
        <w:tc>
          <w:tcPr>
            <w:tcW w:w="2160" w:type="dxa"/>
            <w:tcBorders>
              <w:top w:val="single" w:sz="4" w:space="0" w:color="auto"/>
              <w:left w:val="nil"/>
              <w:bottom w:val="single" w:sz="4" w:space="0" w:color="auto"/>
              <w:right w:val="single" w:sz="4" w:space="0" w:color="auto"/>
            </w:tcBorders>
            <w:shd w:val="clear" w:color="auto" w:fill="auto"/>
            <w:vAlign w:val="center"/>
          </w:tcPr>
          <w:p w:rsidR="00E13AA4" w:rsidRPr="000B7074" w:rsidRDefault="00E13AA4" w:rsidP="000B7074">
            <w:pPr>
              <w:spacing w:after="0" w:line="240" w:lineRule="auto"/>
              <w:jc w:val="right"/>
              <w:rPr>
                <w:rFonts w:ascii="Arial" w:eastAsia="Times New Roman" w:hAnsi="Arial" w:cs="Arial"/>
                <w:b/>
                <w:color w:val="000000"/>
                <w:sz w:val="18"/>
                <w:szCs w:val="18"/>
                <w:lang w:val="es-US" w:eastAsia="es-US"/>
              </w:rPr>
            </w:pPr>
          </w:p>
        </w:tc>
      </w:tr>
    </w:tbl>
    <w:p w:rsidR="00E13AA4" w:rsidRPr="00E13AA4" w:rsidRDefault="00E13AA4" w:rsidP="00E13AA4">
      <w:pPr>
        <w:rPr>
          <w:lang w:val="es-US"/>
        </w:rPr>
      </w:pPr>
    </w:p>
    <w:p w:rsidR="002862BC" w:rsidRPr="004D6436" w:rsidRDefault="002862BC">
      <w:pPr>
        <w:jc w:val="both"/>
        <w:rPr>
          <w:rFonts w:ascii="Arial" w:hAnsi="Arial" w:cs="Arial"/>
          <w:sz w:val="24"/>
          <w:szCs w:val="24"/>
          <w:lang w:val="es-PR"/>
        </w:rPr>
      </w:pPr>
    </w:p>
    <w:sectPr w:rsidR="002862BC" w:rsidRPr="004D6436" w:rsidSect="000B7074">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6E" w:rsidRDefault="00DD266E" w:rsidP="00204DDC">
      <w:pPr>
        <w:spacing w:after="0" w:line="240" w:lineRule="auto"/>
      </w:pPr>
      <w:r>
        <w:separator/>
      </w:r>
    </w:p>
  </w:endnote>
  <w:endnote w:type="continuationSeparator" w:id="0">
    <w:p w:rsidR="00DD266E" w:rsidRDefault="00DD266E" w:rsidP="0020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6E" w:rsidRDefault="00DD266E" w:rsidP="00204DDC">
      <w:pPr>
        <w:spacing w:after="0" w:line="240" w:lineRule="auto"/>
      </w:pPr>
      <w:r>
        <w:separator/>
      </w:r>
    </w:p>
  </w:footnote>
  <w:footnote w:type="continuationSeparator" w:id="0">
    <w:p w:rsidR="00DD266E" w:rsidRDefault="00DD266E" w:rsidP="00204DDC">
      <w:pPr>
        <w:spacing w:after="0" w:line="240" w:lineRule="auto"/>
      </w:pPr>
      <w:r>
        <w:continuationSeparator/>
      </w:r>
    </w:p>
  </w:footnote>
  <w:footnote w:id="1">
    <w:p w:rsidR="00084E50" w:rsidRPr="000B7074" w:rsidRDefault="00084E50" w:rsidP="000B7074">
      <w:pPr>
        <w:pStyle w:val="FootnoteText"/>
        <w:jc w:val="both"/>
        <w:rPr>
          <w:rFonts w:ascii="Arial" w:hAnsi="Arial" w:cs="Arial"/>
          <w:sz w:val="16"/>
          <w:lang w:val="es-ES_tradnl"/>
        </w:rPr>
      </w:pPr>
      <w:r w:rsidRPr="000B7074">
        <w:rPr>
          <w:rStyle w:val="FootnoteReference"/>
          <w:rFonts w:ascii="Arial" w:hAnsi="Arial" w:cs="Arial"/>
          <w:sz w:val="16"/>
        </w:rPr>
        <w:footnoteRef/>
      </w:r>
      <w:r w:rsidRPr="000B7074">
        <w:rPr>
          <w:rFonts w:ascii="Arial" w:hAnsi="Arial" w:cs="Arial"/>
          <w:sz w:val="16"/>
          <w:lang w:val="es-ES_tradnl"/>
        </w:rPr>
        <w:t xml:space="preserve"> La Asamblea Legislativa aprobó mediante la Resolución Conjunta Núm. 60-2016 aprobada el 1 de julio</w:t>
      </w:r>
      <w:r w:rsidR="001C05EA" w:rsidRPr="000B7074">
        <w:rPr>
          <w:rFonts w:ascii="Arial" w:hAnsi="Arial" w:cs="Arial"/>
          <w:sz w:val="16"/>
          <w:lang w:val="es-ES_tradnl"/>
        </w:rPr>
        <w:t xml:space="preserve"> </w:t>
      </w:r>
      <w:r w:rsidRPr="000B7074">
        <w:rPr>
          <w:rFonts w:ascii="Arial" w:hAnsi="Arial" w:cs="Arial"/>
          <w:sz w:val="16"/>
          <w:lang w:val="es-ES_tradnl"/>
        </w:rPr>
        <w:t>de 2016, $1,363,000 para gastos de funcionamiento de la Autoridad.</w:t>
      </w:r>
    </w:p>
  </w:footnote>
  <w:footnote w:id="2">
    <w:p w:rsidR="00661ABA" w:rsidRPr="004D6436" w:rsidRDefault="00661ABA" w:rsidP="00661ABA">
      <w:pPr>
        <w:pStyle w:val="FootnoteText"/>
        <w:jc w:val="both"/>
        <w:rPr>
          <w:rFonts w:ascii="Arial" w:hAnsi="Arial" w:cs="Arial"/>
          <w:sz w:val="16"/>
          <w:szCs w:val="16"/>
          <w:lang w:val="es-ES_tradnl"/>
        </w:rPr>
      </w:pPr>
      <w:r w:rsidRPr="004D6436">
        <w:rPr>
          <w:rStyle w:val="FootnoteReference"/>
          <w:rFonts w:ascii="Arial" w:hAnsi="Arial" w:cs="Arial"/>
          <w:sz w:val="16"/>
          <w:szCs w:val="16"/>
        </w:rPr>
        <w:footnoteRef/>
      </w:r>
      <w:r w:rsidRPr="004D6436">
        <w:rPr>
          <w:rFonts w:ascii="Arial" w:hAnsi="Arial" w:cs="Arial"/>
          <w:sz w:val="16"/>
          <w:szCs w:val="16"/>
          <w:lang w:val="es-ES_tradnl"/>
        </w:rPr>
        <w:t xml:space="preserve"> Nótese que durante los años 2013 hasta principios del 2016, la Directora Ejecutiva de la Autoridad también fungió como Directora Ejecutiva de la Autoridad para el Financiamiento de la Infraestructura. Esta última agencia sufragaba el pago de su nómina. </w:t>
      </w:r>
    </w:p>
  </w:footnote>
  <w:footnote w:id="3">
    <w:p w:rsidR="006229C3" w:rsidRPr="00714229" w:rsidRDefault="006229C3" w:rsidP="006229C3">
      <w:pPr>
        <w:pStyle w:val="FootnoteText"/>
        <w:jc w:val="both"/>
        <w:rPr>
          <w:rFonts w:ascii="Arial" w:hAnsi="Arial" w:cs="Arial"/>
          <w:sz w:val="16"/>
          <w:szCs w:val="16"/>
          <w:lang w:val="es-ES_tradnl"/>
        </w:rPr>
      </w:pPr>
      <w:r w:rsidRPr="00257ABA">
        <w:rPr>
          <w:rStyle w:val="FootnoteReference"/>
          <w:rFonts w:ascii="Arial" w:hAnsi="Arial" w:cs="Arial"/>
          <w:sz w:val="16"/>
          <w:szCs w:val="16"/>
        </w:rPr>
        <w:footnoteRef/>
      </w:r>
      <w:r w:rsidRPr="00FB4235">
        <w:rPr>
          <w:rFonts w:ascii="Arial" w:hAnsi="Arial" w:cs="Arial"/>
          <w:sz w:val="16"/>
          <w:szCs w:val="16"/>
          <w:lang w:val="es-ES_tradnl"/>
        </w:rPr>
        <w:t xml:space="preserve"> </w:t>
      </w:r>
      <w:r w:rsidRPr="00714229">
        <w:rPr>
          <w:rFonts w:ascii="Arial" w:hAnsi="Arial" w:cs="Arial"/>
          <w:sz w:val="16"/>
          <w:szCs w:val="16"/>
          <w:lang w:val="es-ES_tradnl"/>
        </w:rPr>
        <w:t xml:space="preserve">Nótese que en vista de que el desarrollo de la mayoría de los proyectos que encamina la Autoridad toman más de un año, en el presupuesto de proyectos solicitado se incluyó la mitad o parte del presupuesto total para dichos proyectos.  </w:t>
      </w:r>
    </w:p>
    <w:p w:rsidR="006229C3" w:rsidRPr="002B767F" w:rsidRDefault="006229C3" w:rsidP="006229C3">
      <w:pPr>
        <w:pStyle w:val="FootnoteText"/>
        <w:jc w:val="both"/>
        <w:rPr>
          <w:rFonts w:ascii="Arial" w:hAnsi="Arial" w:cs="Arial"/>
          <w:sz w:val="16"/>
          <w:szCs w:val="16"/>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0B" w:rsidRPr="000B7074" w:rsidRDefault="004B510B">
    <w:pPr>
      <w:pStyle w:val="Header"/>
      <w:rPr>
        <w:rFonts w:ascii="Arial" w:hAnsi="Arial" w:cs="Arial"/>
        <w:sz w:val="16"/>
        <w:lang w:val="es-PR"/>
      </w:rPr>
    </w:pPr>
    <w:r w:rsidRPr="000B7074">
      <w:rPr>
        <w:rFonts w:ascii="Arial" w:hAnsi="Arial" w:cs="Arial"/>
        <w:sz w:val="16"/>
        <w:lang w:val="es-PR"/>
      </w:rPr>
      <w:t>AAPP: Informe de Transición 2016-2017</w:t>
    </w:r>
  </w:p>
  <w:p w:rsidR="004B510B" w:rsidRPr="000B7074" w:rsidRDefault="004B510B">
    <w:pPr>
      <w:pStyle w:val="Header"/>
      <w:rPr>
        <w:rFonts w:ascii="Arial" w:hAnsi="Arial" w:cs="Arial"/>
        <w:noProof/>
        <w:sz w:val="16"/>
        <w:lang w:val="es-PR"/>
      </w:rPr>
    </w:pPr>
    <w:r w:rsidRPr="000B7074">
      <w:rPr>
        <w:rFonts w:ascii="Arial" w:hAnsi="Arial" w:cs="Arial"/>
        <w:sz w:val="16"/>
        <w:lang w:val="es-PR"/>
      </w:rPr>
      <w:t xml:space="preserve">Página </w:t>
    </w:r>
    <w:r w:rsidRPr="000B7074">
      <w:rPr>
        <w:rFonts w:ascii="Arial" w:hAnsi="Arial" w:cs="Arial"/>
        <w:sz w:val="16"/>
      </w:rPr>
      <w:fldChar w:fldCharType="begin"/>
    </w:r>
    <w:r w:rsidRPr="000B7074">
      <w:rPr>
        <w:rFonts w:ascii="Arial" w:hAnsi="Arial" w:cs="Arial"/>
        <w:sz w:val="16"/>
        <w:lang w:val="es-PR"/>
      </w:rPr>
      <w:instrText xml:space="preserve"> PAGE   \* MERGEFORMAT </w:instrText>
    </w:r>
    <w:r w:rsidRPr="000B7074">
      <w:rPr>
        <w:rFonts w:ascii="Arial" w:hAnsi="Arial" w:cs="Arial"/>
        <w:sz w:val="16"/>
      </w:rPr>
      <w:fldChar w:fldCharType="separate"/>
    </w:r>
    <w:r w:rsidR="005030AE">
      <w:rPr>
        <w:rFonts w:ascii="Arial" w:hAnsi="Arial" w:cs="Arial"/>
        <w:noProof/>
        <w:sz w:val="16"/>
        <w:lang w:val="es-PR"/>
      </w:rPr>
      <w:t>5</w:t>
    </w:r>
    <w:r w:rsidRPr="000B7074">
      <w:rPr>
        <w:rFonts w:ascii="Arial" w:hAnsi="Arial" w:cs="Arial"/>
        <w:noProof/>
        <w:sz w:val="16"/>
      </w:rPr>
      <w:fldChar w:fldCharType="end"/>
    </w:r>
    <w:r w:rsidR="00A1544C" w:rsidRPr="000B7074">
      <w:rPr>
        <w:rFonts w:ascii="Arial" w:hAnsi="Arial" w:cs="Arial"/>
        <w:noProof/>
        <w:sz w:val="16"/>
        <w:lang w:val="es-PR"/>
      </w:rPr>
      <w:t xml:space="preserve"> de </w:t>
    </w:r>
    <w:r w:rsidR="009D2241">
      <w:rPr>
        <w:rFonts w:ascii="Arial" w:hAnsi="Arial" w:cs="Arial"/>
        <w:noProof/>
        <w:sz w:val="16"/>
        <w:lang w:val="es-PR"/>
      </w:rPr>
      <w:t>5</w:t>
    </w:r>
  </w:p>
  <w:p w:rsidR="004B510B" w:rsidRPr="000B7074" w:rsidRDefault="004B510B">
    <w:pPr>
      <w:pStyle w:val="Header"/>
      <w:rPr>
        <w:rFonts w:ascii="Arial" w:hAnsi="Arial" w:cs="Arial"/>
        <w:noProof/>
        <w:sz w:val="16"/>
        <w:lang w:val="es-P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0B" w:rsidRDefault="00E50CF8" w:rsidP="00652CD1">
    <w:pPr>
      <w:pStyle w:val="Header"/>
      <w:ind w:left="-630"/>
    </w:pPr>
    <w:r>
      <w:rPr>
        <w:noProof/>
        <w:lang w:val="es-PR" w:eastAsia="es-PR"/>
      </w:rPr>
      <w:drawing>
        <wp:inline distT="0" distB="0" distL="0" distR="0" wp14:anchorId="3C954523" wp14:editId="458A2522">
          <wp:extent cx="2315719" cy="8229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PP-nueva imagen ELA.png"/>
                  <pic:cNvPicPr/>
                </pic:nvPicPr>
                <pic:blipFill>
                  <a:blip r:embed="rId1">
                    <a:extLst>
                      <a:ext uri="{28A0092B-C50C-407E-A947-70E740481C1C}">
                        <a14:useLocalDpi xmlns:a14="http://schemas.microsoft.com/office/drawing/2010/main" val="0"/>
                      </a:ext>
                    </a:extLst>
                  </a:blip>
                  <a:stretch>
                    <a:fillRect/>
                  </a:stretch>
                </pic:blipFill>
                <pic:spPr>
                  <a:xfrm>
                    <a:off x="0" y="0"/>
                    <a:ext cx="2315719" cy="8229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79" w:rsidRPr="00B02879" w:rsidRDefault="00B028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6EE" w:rsidRDefault="00AE36EE" w:rsidP="00652CD1">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0353B"/>
    <w:multiLevelType w:val="hybridMultilevel"/>
    <w:tmpl w:val="161EC17E"/>
    <w:lvl w:ilvl="0" w:tplc="04090013">
      <w:start w:val="1"/>
      <w:numFmt w:val="upperRoman"/>
      <w:lvlText w:val="%1."/>
      <w:lvlJc w:val="right"/>
      <w:pPr>
        <w:ind w:left="2160" w:hanging="360"/>
      </w:pPr>
    </w:lvl>
    <w:lvl w:ilvl="1" w:tplc="1B888EE2">
      <w:start w:val="1"/>
      <w:numFmt w:val="lowerRoman"/>
      <w:lvlText w:val="%2)"/>
      <w:lvlJc w:val="left"/>
      <w:pPr>
        <w:ind w:left="2880" w:hanging="360"/>
      </w:pPr>
      <w:rPr>
        <w:rFonts w:hint="default"/>
      </w:rPr>
    </w:lvl>
    <w:lvl w:ilvl="2" w:tplc="1B888EE2">
      <w:start w:val="1"/>
      <w:numFmt w:val="lowerRoman"/>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6A5ECD"/>
    <w:multiLevelType w:val="hybridMultilevel"/>
    <w:tmpl w:val="E2323E3C"/>
    <w:lvl w:ilvl="0" w:tplc="C19652D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FD14ED"/>
    <w:multiLevelType w:val="hybridMultilevel"/>
    <w:tmpl w:val="ABD6DC2C"/>
    <w:lvl w:ilvl="0" w:tplc="9AD0A27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095286"/>
    <w:multiLevelType w:val="hybridMultilevel"/>
    <w:tmpl w:val="A18282A4"/>
    <w:lvl w:ilvl="0" w:tplc="2758C982">
      <w:start w:val="1"/>
      <w:numFmt w:val="upperRoman"/>
      <w:lvlText w:val="%1."/>
      <w:lvlJc w:val="left"/>
      <w:pPr>
        <w:ind w:left="1080" w:hanging="720"/>
      </w:pPr>
      <w:rPr>
        <w:rFonts w:hint="default"/>
      </w:rPr>
    </w:lvl>
    <w:lvl w:ilvl="1" w:tplc="04090015">
      <w:start w:val="1"/>
      <w:numFmt w:val="upp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431D5"/>
    <w:multiLevelType w:val="hybridMultilevel"/>
    <w:tmpl w:val="4230B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475F0"/>
    <w:multiLevelType w:val="hybridMultilevel"/>
    <w:tmpl w:val="1DB4D66E"/>
    <w:lvl w:ilvl="0" w:tplc="34808872">
      <w:start w:val="1"/>
      <w:numFmt w:val="lowerLetter"/>
      <w:lvlText w:val="%1)"/>
      <w:lvlJc w:val="left"/>
      <w:pPr>
        <w:ind w:left="420" w:hanging="360"/>
      </w:pPr>
      <w:rPr>
        <w:rFonts w:hint="default"/>
      </w:rPr>
    </w:lvl>
    <w:lvl w:ilvl="1" w:tplc="500A0019" w:tentative="1">
      <w:start w:val="1"/>
      <w:numFmt w:val="lowerLetter"/>
      <w:lvlText w:val="%2."/>
      <w:lvlJc w:val="left"/>
      <w:pPr>
        <w:ind w:left="1140" w:hanging="360"/>
      </w:pPr>
    </w:lvl>
    <w:lvl w:ilvl="2" w:tplc="500A001B" w:tentative="1">
      <w:start w:val="1"/>
      <w:numFmt w:val="lowerRoman"/>
      <w:lvlText w:val="%3."/>
      <w:lvlJc w:val="right"/>
      <w:pPr>
        <w:ind w:left="1860" w:hanging="180"/>
      </w:pPr>
    </w:lvl>
    <w:lvl w:ilvl="3" w:tplc="500A000F" w:tentative="1">
      <w:start w:val="1"/>
      <w:numFmt w:val="decimal"/>
      <w:lvlText w:val="%4."/>
      <w:lvlJc w:val="left"/>
      <w:pPr>
        <w:ind w:left="2580" w:hanging="360"/>
      </w:pPr>
    </w:lvl>
    <w:lvl w:ilvl="4" w:tplc="500A0019" w:tentative="1">
      <w:start w:val="1"/>
      <w:numFmt w:val="lowerLetter"/>
      <w:lvlText w:val="%5."/>
      <w:lvlJc w:val="left"/>
      <w:pPr>
        <w:ind w:left="3300" w:hanging="360"/>
      </w:pPr>
    </w:lvl>
    <w:lvl w:ilvl="5" w:tplc="500A001B" w:tentative="1">
      <w:start w:val="1"/>
      <w:numFmt w:val="lowerRoman"/>
      <w:lvlText w:val="%6."/>
      <w:lvlJc w:val="right"/>
      <w:pPr>
        <w:ind w:left="4020" w:hanging="180"/>
      </w:pPr>
    </w:lvl>
    <w:lvl w:ilvl="6" w:tplc="500A000F" w:tentative="1">
      <w:start w:val="1"/>
      <w:numFmt w:val="decimal"/>
      <w:lvlText w:val="%7."/>
      <w:lvlJc w:val="left"/>
      <w:pPr>
        <w:ind w:left="4740" w:hanging="360"/>
      </w:pPr>
    </w:lvl>
    <w:lvl w:ilvl="7" w:tplc="500A0019" w:tentative="1">
      <w:start w:val="1"/>
      <w:numFmt w:val="lowerLetter"/>
      <w:lvlText w:val="%8."/>
      <w:lvlJc w:val="left"/>
      <w:pPr>
        <w:ind w:left="5460" w:hanging="360"/>
      </w:pPr>
    </w:lvl>
    <w:lvl w:ilvl="8" w:tplc="500A001B" w:tentative="1">
      <w:start w:val="1"/>
      <w:numFmt w:val="lowerRoman"/>
      <w:lvlText w:val="%9."/>
      <w:lvlJc w:val="right"/>
      <w:pPr>
        <w:ind w:left="6180" w:hanging="180"/>
      </w:pPr>
    </w:lvl>
  </w:abstractNum>
  <w:abstractNum w:abstractNumId="6">
    <w:nsid w:val="5AC86376"/>
    <w:multiLevelType w:val="hybridMultilevel"/>
    <w:tmpl w:val="5B88C710"/>
    <w:lvl w:ilvl="0" w:tplc="4900F926">
      <w:start w:val="1"/>
      <w:numFmt w:val="decimal"/>
      <w:lvlText w:val="%1."/>
      <w:lvlJc w:val="left"/>
      <w:pPr>
        <w:ind w:left="720" w:hanging="360"/>
      </w:pPr>
      <w:rPr>
        <w:rFonts w:ascii="Arial" w:hAnsi="Arial" w:cs="Arial" w:hint="default"/>
        <w:sz w:val="16"/>
        <w:szCs w:val="16"/>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nsid w:val="5E6F0438"/>
    <w:multiLevelType w:val="hybridMultilevel"/>
    <w:tmpl w:val="F89C086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3F02E84"/>
    <w:multiLevelType w:val="hybridMultilevel"/>
    <w:tmpl w:val="569890F8"/>
    <w:lvl w:ilvl="0" w:tplc="FAFE6C44">
      <w:start w:val="1"/>
      <w:numFmt w:val="bullet"/>
      <w:lvlText w:val="•"/>
      <w:lvlJc w:val="left"/>
      <w:pPr>
        <w:ind w:left="2102" w:hanging="360"/>
      </w:pPr>
      <w:rPr>
        <w:rFonts w:ascii="Arial" w:eastAsia="Arial" w:hAnsi="Arial" w:hint="default"/>
        <w:color w:val="1C1C1C"/>
        <w:w w:val="149"/>
        <w:sz w:val="23"/>
        <w:szCs w:val="23"/>
      </w:rPr>
    </w:lvl>
    <w:lvl w:ilvl="1" w:tplc="E97E1F78">
      <w:start w:val="1"/>
      <w:numFmt w:val="bullet"/>
      <w:lvlText w:val="•"/>
      <w:lvlJc w:val="left"/>
      <w:pPr>
        <w:ind w:left="3072" w:hanging="360"/>
      </w:pPr>
      <w:rPr>
        <w:rFonts w:hint="default"/>
      </w:rPr>
    </w:lvl>
    <w:lvl w:ilvl="2" w:tplc="C842FF44">
      <w:start w:val="1"/>
      <w:numFmt w:val="bullet"/>
      <w:lvlText w:val="•"/>
      <w:lvlJc w:val="left"/>
      <w:pPr>
        <w:ind w:left="4042" w:hanging="360"/>
      </w:pPr>
      <w:rPr>
        <w:rFonts w:hint="default"/>
      </w:rPr>
    </w:lvl>
    <w:lvl w:ilvl="3" w:tplc="A2807C8C">
      <w:start w:val="1"/>
      <w:numFmt w:val="bullet"/>
      <w:lvlText w:val="•"/>
      <w:lvlJc w:val="left"/>
      <w:pPr>
        <w:ind w:left="5011" w:hanging="360"/>
      </w:pPr>
      <w:rPr>
        <w:rFonts w:hint="default"/>
      </w:rPr>
    </w:lvl>
    <w:lvl w:ilvl="4" w:tplc="A7AE4480">
      <w:start w:val="1"/>
      <w:numFmt w:val="bullet"/>
      <w:lvlText w:val="•"/>
      <w:lvlJc w:val="left"/>
      <w:pPr>
        <w:ind w:left="5981" w:hanging="360"/>
      </w:pPr>
      <w:rPr>
        <w:rFonts w:hint="default"/>
      </w:rPr>
    </w:lvl>
    <w:lvl w:ilvl="5" w:tplc="45B48BD8">
      <w:start w:val="1"/>
      <w:numFmt w:val="bullet"/>
      <w:lvlText w:val="•"/>
      <w:lvlJc w:val="left"/>
      <w:pPr>
        <w:ind w:left="6951" w:hanging="360"/>
      </w:pPr>
      <w:rPr>
        <w:rFonts w:hint="default"/>
      </w:rPr>
    </w:lvl>
    <w:lvl w:ilvl="6" w:tplc="7CCE5C10">
      <w:start w:val="1"/>
      <w:numFmt w:val="bullet"/>
      <w:lvlText w:val="•"/>
      <w:lvlJc w:val="left"/>
      <w:pPr>
        <w:ind w:left="7921" w:hanging="360"/>
      </w:pPr>
      <w:rPr>
        <w:rFonts w:hint="default"/>
      </w:rPr>
    </w:lvl>
    <w:lvl w:ilvl="7" w:tplc="2E56159C">
      <w:start w:val="1"/>
      <w:numFmt w:val="bullet"/>
      <w:lvlText w:val="•"/>
      <w:lvlJc w:val="left"/>
      <w:pPr>
        <w:ind w:left="8890" w:hanging="360"/>
      </w:pPr>
      <w:rPr>
        <w:rFonts w:hint="default"/>
      </w:rPr>
    </w:lvl>
    <w:lvl w:ilvl="8" w:tplc="6E68110C">
      <w:start w:val="1"/>
      <w:numFmt w:val="bullet"/>
      <w:lvlText w:val="•"/>
      <w:lvlJc w:val="left"/>
      <w:pPr>
        <w:ind w:left="9860" w:hanging="360"/>
      </w:pPr>
      <w:rPr>
        <w:rFonts w:hint="default"/>
      </w:rPr>
    </w:lvl>
  </w:abstractNum>
  <w:abstractNum w:abstractNumId="9">
    <w:nsid w:val="684C72D6"/>
    <w:multiLevelType w:val="hybridMultilevel"/>
    <w:tmpl w:val="CC2A254C"/>
    <w:lvl w:ilvl="0" w:tplc="2758C982">
      <w:start w:val="1"/>
      <w:numFmt w:val="upperRoman"/>
      <w:lvlText w:val="%1."/>
      <w:lvlJc w:val="left"/>
      <w:pPr>
        <w:ind w:left="1080" w:hanging="720"/>
      </w:pPr>
      <w:rPr>
        <w:rFonts w:hint="default"/>
      </w:rPr>
    </w:lvl>
    <w:lvl w:ilvl="1" w:tplc="04090015">
      <w:start w:val="1"/>
      <w:numFmt w:val="upp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F1076E"/>
    <w:multiLevelType w:val="hybridMultilevel"/>
    <w:tmpl w:val="1CCC040C"/>
    <w:lvl w:ilvl="0" w:tplc="EE9C69E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4170A8"/>
    <w:multiLevelType w:val="hybridMultilevel"/>
    <w:tmpl w:val="04E4E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3"/>
  </w:num>
  <w:num w:numId="5">
    <w:abstractNumId w:val="5"/>
  </w:num>
  <w:num w:numId="6">
    <w:abstractNumId w:val="7"/>
  </w:num>
  <w:num w:numId="7">
    <w:abstractNumId w:val="2"/>
  </w:num>
  <w:num w:numId="8">
    <w:abstractNumId w:val="10"/>
  </w:num>
  <w:num w:numId="9">
    <w:abstractNumId w:val="4"/>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7B"/>
    <w:rsid w:val="00022061"/>
    <w:rsid w:val="00035EAB"/>
    <w:rsid w:val="00050CA5"/>
    <w:rsid w:val="0005783E"/>
    <w:rsid w:val="00066903"/>
    <w:rsid w:val="000756B7"/>
    <w:rsid w:val="00084E50"/>
    <w:rsid w:val="000B7074"/>
    <w:rsid w:val="000E3524"/>
    <w:rsid w:val="000F0D8B"/>
    <w:rsid w:val="001070F6"/>
    <w:rsid w:val="00127243"/>
    <w:rsid w:val="001415DF"/>
    <w:rsid w:val="001630C5"/>
    <w:rsid w:val="001C05EA"/>
    <w:rsid w:val="001C101B"/>
    <w:rsid w:val="001C3736"/>
    <w:rsid w:val="001D49DE"/>
    <w:rsid w:val="001D6F46"/>
    <w:rsid w:val="00204DDC"/>
    <w:rsid w:val="002301AD"/>
    <w:rsid w:val="00230E0A"/>
    <w:rsid w:val="00230ED6"/>
    <w:rsid w:val="002535FC"/>
    <w:rsid w:val="002831AF"/>
    <w:rsid w:val="002862BC"/>
    <w:rsid w:val="002B4B7D"/>
    <w:rsid w:val="002D498E"/>
    <w:rsid w:val="00323D8A"/>
    <w:rsid w:val="00364C2C"/>
    <w:rsid w:val="00376D43"/>
    <w:rsid w:val="004059A0"/>
    <w:rsid w:val="0043568D"/>
    <w:rsid w:val="00460AC1"/>
    <w:rsid w:val="00482BFD"/>
    <w:rsid w:val="00494910"/>
    <w:rsid w:val="004A37A5"/>
    <w:rsid w:val="004A794E"/>
    <w:rsid w:val="004B510B"/>
    <w:rsid w:val="004C6C0B"/>
    <w:rsid w:val="004D0975"/>
    <w:rsid w:val="004D1A13"/>
    <w:rsid w:val="004D51E2"/>
    <w:rsid w:val="004D6436"/>
    <w:rsid w:val="005030AE"/>
    <w:rsid w:val="00503FAA"/>
    <w:rsid w:val="00510D97"/>
    <w:rsid w:val="0052216F"/>
    <w:rsid w:val="005734BA"/>
    <w:rsid w:val="00593BDF"/>
    <w:rsid w:val="005C4F28"/>
    <w:rsid w:val="006229C3"/>
    <w:rsid w:val="00635D11"/>
    <w:rsid w:val="00652CD1"/>
    <w:rsid w:val="00661ABA"/>
    <w:rsid w:val="00681EB6"/>
    <w:rsid w:val="00690966"/>
    <w:rsid w:val="006C0643"/>
    <w:rsid w:val="00705281"/>
    <w:rsid w:val="00723674"/>
    <w:rsid w:val="00730D0C"/>
    <w:rsid w:val="00754C7B"/>
    <w:rsid w:val="007550C6"/>
    <w:rsid w:val="0075593F"/>
    <w:rsid w:val="007724E4"/>
    <w:rsid w:val="00776019"/>
    <w:rsid w:val="00782467"/>
    <w:rsid w:val="00791F60"/>
    <w:rsid w:val="00795533"/>
    <w:rsid w:val="007A475D"/>
    <w:rsid w:val="007B22C2"/>
    <w:rsid w:val="007B67BF"/>
    <w:rsid w:val="007F3470"/>
    <w:rsid w:val="00801DB7"/>
    <w:rsid w:val="00825C8F"/>
    <w:rsid w:val="0083312C"/>
    <w:rsid w:val="008357D0"/>
    <w:rsid w:val="008475C3"/>
    <w:rsid w:val="008526FD"/>
    <w:rsid w:val="008878A7"/>
    <w:rsid w:val="0089302B"/>
    <w:rsid w:val="008F03DE"/>
    <w:rsid w:val="009333C1"/>
    <w:rsid w:val="00937D92"/>
    <w:rsid w:val="009444C3"/>
    <w:rsid w:val="00945EE6"/>
    <w:rsid w:val="00951A64"/>
    <w:rsid w:val="0095326E"/>
    <w:rsid w:val="00980D6B"/>
    <w:rsid w:val="00984321"/>
    <w:rsid w:val="009D2241"/>
    <w:rsid w:val="009D4F3F"/>
    <w:rsid w:val="009D7979"/>
    <w:rsid w:val="009E5ACE"/>
    <w:rsid w:val="00A0482B"/>
    <w:rsid w:val="00A113A9"/>
    <w:rsid w:val="00A1544C"/>
    <w:rsid w:val="00A25C94"/>
    <w:rsid w:val="00A45227"/>
    <w:rsid w:val="00A60297"/>
    <w:rsid w:val="00A706EE"/>
    <w:rsid w:val="00A92781"/>
    <w:rsid w:val="00AC0C17"/>
    <w:rsid w:val="00AE2EFB"/>
    <w:rsid w:val="00AE36EE"/>
    <w:rsid w:val="00AF5377"/>
    <w:rsid w:val="00B02879"/>
    <w:rsid w:val="00B05B75"/>
    <w:rsid w:val="00B36C5D"/>
    <w:rsid w:val="00B3738A"/>
    <w:rsid w:val="00B55A02"/>
    <w:rsid w:val="00B6376E"/>
    <w:rsid w:val="00B73555"/>
    <w:rsid w:val="00BA1ABE"/>
    <w:rsid w:val="00BA4FD7"/>
    <w:rsid w:val="00BC420F"/>
    <w:rsid w:val="00C34433"/>
    <w:rsid w:val="00C407A7"/>
    <w:rsid w:val="00C6513F"/>
    <w:rsid w:val="00C74E1C"/>
    <w:rsid w:val="00C84B9B"/>
    <w:rsid w:val="00CC32EF"/>
    <w:rsid w:val="00CC7B87"/>
    <w:rsid w:val="00D054E7"/>
    <w:rsid w:val="00D2246E"/>
    <w:rsid w:val="00D25A18"/>
    <w:rsid w:val="00D87052"/>
    <w:rsid w:val="00DB11A6"/>
    <w:rsid w:val="00DB21F4"/>
    <w:rsid w:val="00DC0264"/>
    <w:rsid w:val="00DD266E"/>
    <w:rsid w:val="00DD28E1"/>
    <w:rsid w:val="00DF1989"/>
    <w:rsid w:val="00E13AA4"/>
    <w:rsid w:val="00E50CF8"/>
    <w:rsid w:val="00E76D5B"/>
    <w:rsid w:val="00EA796B"/>
    <w:rsid w:val="00EA7A82"/>
    <w:rsid w:val="00EE5C96"/>
    <w:rsid w:val="00F1385E"/>
    <w:rsid w:val="00F34A34"/>
    <w:rsid w:val="00F651EE"/>
    <w:rsid w:val="00F75CD0"/>
    <w:rsid w:val="00FB4235"/>
    <w:rsid w:val="00FB78D0"/>
    <w:rsid w:val="00FE48C3"/>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119A57-69F8-4301-860F-B1C7C224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4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C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0264"/>
    <w:pPr>
      <w:ind w:left="720"/>
      <w:contextualSpacing/>
    </w:pPr>
  </w:style>
  <w:style w:type="paragraph" w:styleId="FootnoteText">
    <w:name w:val="footnote text"/>
    <w:basedOn w:val="Normal"/>
    <w:link w:val="FootnoteTextChar"/>
    <w:uiPriority w:val="99"/>
    <w:unhideWhenUsed/>
    <w:rsid w:val="00084E50"/>
    <w:pPr>
      <w:spacing w:after="0" w:line="240" w:lineRule="auto"/>
    </w:pPr>
    <w:rPr>
      <w:sz w:val="20"/>
      <w:szCs w:val="20"/>
    </w:rPr>
  </w:style>
  <w:style w:type="character" w:customStyle="1" w:styleId="FootnoteTextChar">
    <w:name w:val="Footnote Text Char"/>
    <w:basedOn w:val="DefaultParagraphFont"/>
    <w:link w:val="FootnoteText"/>
    <w:uiPriority w:val="99"/>
    <w:rsid w:val="00084E50"/>
    <w:rPr>
      <w:sz w:val="20"/>
      <w:szCs w:val="20"/>
    </w:rPr>
  </w:style>
  <w:style w:type="character" w:styleId="FootnoteReference">
    <w:name w:val="footnote reference"/>
    <w:basedOn w:val="DefaultParagraphFont"/>
    <w:uiPriority w:val="99"/>
    <w:semiHidden/>
    <w:unhideWhenUsed/>
    <w:rsid w:val="00084E50"/>
    <w:rPr>
      <w:vertAlign w:val="superscript"/>
    </w:rPr>
  </w:style>
  <w:style w:type="table" w:styleId="TableGrid">
    <w:name w:val="Table Grid"/>
    <w:basedOn w:val="TableNormal"/>
    <w:uiPriority w:val="59"/>
    <w:rsid w:val="00661AB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C0C1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24"/>
    <w:rPr>
      <w:rFonts w:ascii="Segoe UI" w:hAnsi="Segoe UI" w:cs="Segoe UI"/>
      <w:sz w:val="18"/>
      <w:szCs w:val="18"/>
    </w:rPr>
  </w:style>
  <w:style w:type="paragraph" w:styleId="Header">
    <w:name w:val="header"/>
    <w:basedOn w:val="Normal"/>
    <w:link w:val="HeaderChar"/>
    <w:uiPriority w:val="99"/>
    <w:unhideWhenUsed/>
    <w:rsid w:val="004B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0B"/>
  </w:style>
  <w:style w:type="paragraph" w:styleId="Footer">
    <w:name w:val="footer"/>
    <w:basedOn w:val="Normal"/>
    <w:link w:val="FooterChar"/>
    <w:uiPriority w:val="99"/>
    <w:unhideWhenUsed/>
    <w:rsid w:val="004B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0B"/>
  </w:style>
  <w:style w:type="table" w:customStyle="1" w:styleId="TableGrid11">
    <w:name w:val="Table Grid11"/>
    <w:basedOn w:val="TableNormal"/>
    <w:next w:val="TableGrid"/>
    <w:uiPriority w:val="59"/>
    <w:rsid w:val="00681EB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13A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E13A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1A13"/>
    <w:rPr>
      <w:sz w:val="16"/>
      <w:szCs w:val="16"/>
    </w:rPr>
  </w:style>
  <w:style w:type="paragraph" w:styleId="CommentText">
    <w:name w:val="annotation text"/>
    <w:basedOn w:val="Normal"/>
    <w:link w:val="CommentTextChar"/>
    <w:uiPriority w:val="99"/>
    <w:semiHidden/>
    <w:unhideWhenUsed/>
    <w:rsid w:val="004D1A13"/>
    <w:pPr>
      <w:spacing w:line="240" w:lineRule="auto"/>
    </w:pPr>
    <w:rPr>
      <w:sz w:val="20"/>
      <w:szCs w:val="20"/>
    </w:rPr>
  </w:style>
  <w:style w:type="character" w:customStyle="1" w:styleId="CommentTextChar">
    <w:name w:val="Comment Text Char"/>
    <w:basedOn w:val="DefaultParagraphFont"/>
    <w:link w:val="CommentText"/>
    <w:uiPriority w:val="99"/>
    <w:semiHidden/>
    <w:rsid w:val="004D1A13"/>
    <w:rPr>
      <w:sz w:val="20"/>
      <w:szCs w:val="20"/>
    </w:rPr>
  </w:style>
  <w:style w:type="paragraph" w:styleId="CommentSubject">
    <w:name w:val="annotation subject"/>
    <w:basedOn w:val="CommentText"/>
    <w:next w:val="CommentText"/>
    <w:link w:val="CommentSubjectChar"/>
    <w:uiPriority w:val="99"/>
    <w:semiHidden/>
    <w:unhideWhenUsed/>
    <w:rsid w:val="004D1A13"/>
    <w:rPr>
      <w:b/>
      <w:bCs/>
    </w:rPr>
  </w:style>
  <w:style w:type="character" w:customStyle="1" w:styleId="CommentSubjectChar">
    <w:name w:val="Comment Subject Char"/>
    <w:basedOn w:val="CommentTextChar"/>
    <w:link w:val="CommentSubject"/>
    <w:uiPriority w:val="99"/>
    <w:semiHidden/>
    <w:rsid w:val="004D1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26256D1DD794C9415276E5CCE18CC" ma:contentTypeVersion="0" ma:contentTypeDescription="Create a new document." ma:contentTypeScope="" ma:versionID="bb892ec0ef735aa08644703a86db0f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A9CE5-3750-4E61-B0B1-72B19012144C}"/>
</file>

<file path=customXml/itemProps2.xml><?xml version="1.0" encoding="utf-8"?>
<ds:datastoreItem xmlns:ds="http://schemas.openxmlformats.org/officeDocument/2006/customXml" ds:itemID="{D7EB9A34-79D7-49A1-A8A1-222020D9E7BB}"/>
</file>

<file path=customXml/itemProps3.xml><?xml version="1.0" encoding="utf-8"?>
<ds:datastoreItem xmlns:ds="http://schemas.openxmlformats.org/officeDocument/2006/customXml" ds:itemID="{27D685F9-8FD1-4A70-9C9A-83A259496829}"/>
</file>

<file path=customXml/itemProps4.xml><?xml version="1.0" encoding="utf-8"?>
<ds:datastoreItem xmlns:ds="http://schemas.openxmlformats.org/officeDocument/2006/customXml" ds:itemID="{6265E26A-2B2C-471E-A73B-0DB2BB854894}"/>
</file>

<file path=docProps/app.xml><?xml version="1.0" encoding="utf-8"?>
<Properties xmlns="http://schemas.openxmlformats.org/officeDocument/2006/extended-properties" xmlns:vt="http://schemas.openxmlformats.org/officeDocument/2006/docPropsVTypes">
  <Template>Normal.dotm</Template>
  <TotalTime>0</TotalTime>
  <Pages>7</Pages>
  <Words>2918</Words>
  <Characters>16052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Torres, Deliris (GDB)</dc:creator>
  <cp:keywords/>
  <dc:description/>
  <cp:lastModifiedBy>Valentín Cordero, Bernice M. (GDB)</cp:lastModifiedBy>
  <cp:revision>2</cp:revision>
  <cp:lastPrinted>2016-10-31T14:53:00Z</cp:lastPrinted>
  <dcterms:created xsi:type="dcterms:W3CDTF">2016-10-31T21:02:00Z</dcterms:created>
  <dcterms:modified xsi:type="dcterms:W3CDTF">2016-10-31T21:02:00Z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0x01010074826256D1DD794C9415276E5CCE18CC</vt:lpwstr>
  </property>
</Properties>
</file>